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B9" w:rsidRPr="004B5592" w:rsidRDefault="00BA62A0" w:rsidP="004C49B9">
      <w:pPr>
        <w:pStyle w:val="cjk"/>
        <w:spacing w:before="0"/>
        <w:ind w:left="0"/>
        <w:jc w:val="center"/>
        <w:rPr>
          <w:rFonts w:cs="標楷體"/>
          <w:b/>
          <w:color w:val="auto"/>
          <w:sz w:val="32"/>
          <w:szCs w:val="32"/>
        </w:rPr>
      </w:pPr>
      <w:r w:rsidRPr="004B5592">
        <w:rPr>
          <w:rFonts w:cs="標楷體"/>
          <w:b/>
          <w:color w:val="auto"/>
          <w:sz w:val="32"/>
          <w:szCs w:val="32"/>
        </w:rPr>
        <w:t>交通部民用航空局馬祖</w:t>
      </w:r>
      <w:r w:rsidR="00790E0E" w:rsidRPr="004B5592">
        <w:rPr>
          <w:rFonts w:cs="標楷體"/>
          <w:b/>
          <w:color w:val="auto"/>
          <w:sz w:val="32"/>
          <w:szCs w:val="32"/>
        </w:rPr>
        <w:t>航空站</w:t>
      </w:r>
    </w:p>
    <w:p w:rsidR="004C49B9" w:rsidRPr="004B5592" w:rsidRDefault="004C49B9" w:rsidP="00BA62A0">
      <w:pPr>
        <w:pStyle w:val="cjk"/>
        <w:spacing w:before="0"/>
        <w:ind w:left="0"/>
        <w:jc w:val="center"/>
        <w:rPr>
          <w:rFonts w:cs="標楷體"/>
          <w:b/>
          <w:color w:val="auto"/>
          <w:sz w:val="32"/>
          <w:szCs w:val="32"/>
        </w:rPr>
      </w:pPr>
      <w:r w:rsidRPr="004B5592">
        <w:rPr>
          <w:rFonts w:cs="標楷體" w:hint="eastAsia"/>
          <w:b/>
          <w:color w:val="auto"/>
          <w:sz w:val="32"/>
          <w:szCs w:val="32"/>
        </w:rPr>
        <w:t>北竿機場</w:t>
      </w:r>
      <w:r w:rsidRPr="004B5592">
        <w:rPr>
          <w:rFonts w:cs="標楷體"/>
          <w:b/>
          <w:color w:val="auto"/>
          <w:sz w:val="32"/>
          <w:szCs w:val="32"/>
        </w:rPr>
        <w:t>航廈</w:t>
      </w:r>
      <w:r w:rsidRPr="004B5592">
        <w:rPr>
          <w:rFonts w:cs="標楷體" w:hint="eastAsia"/>
          <w:b/>
          <w:color w:val="auto"/>
          <w:sz w:val="32"/>
          <w:szCs w:val="32"/>
        </w:rPr>
        <w:t>一</w:t>
      </w:r>
      <w:r w:rsidRPr="004B5592">
        <w:rPr>
          <w:rFonts w:cs="標楷體"/>
          <w:b/>
          <w:color w:val="auto"/>
          <w:sz w:val="32"/>
          <w:szCs w:val="32"/>
        </w:rPr>
        <w:t>樓設置</w:t>
      </w:r>
      <w:r w:rsidRPr="004B5592">
        <w:rPr>
          <w:rFonts w:cs="標楷體" w:hint="eastAsia"/>
          <w:b/>
          <w:color w:val="auto"/>
          <w:sz w:val="32"/>
          <w:szCs w:val="32"/>
        </w:rPr>
        <w:t>一般商店案</w:t>
      </w:r>
    </w:p>
    <w:p w:rsidR="006B3486" w:rsidRPr="004B5592" w:rsidRDefault="00790E0E" w:rsidP="004C49B9">
      <w:pPr>
        <w:pStyle w:val="cjk"/>
        <w:spacing w:before="0"/>
        <w:ind w:left="0"/>
        <w:jc w:val="center"/>
        <w:rPr>
          <w:rFonts w:cs="標楷體"/>
          <w:b/>
          <w:color w:val="auto"/>
          <w:sz w:val="32"/>
          <w:szCs w:val="32"/>
        </w:rPr>
      </w:pPr>
      <w:r w:rsidRPr="004B5592">
        <w:rPr>
          <w:rFonts w:cs="標楷體"/>
          <w:b/>
          <w:color w:val="auto"/>
          <w:sz w:val="32"/>
          <w:szCs w:val="32"/>
        </w:rPr>
        <w:t>營運計劃書公開</w:t>
      </w:r>
      <w:bookmarkStart w:id="0" w:name="_GoBack"/>
      <w:bookmarkEnd w:id="0"/>
      <w:r w:rsidRPr="004B5592">
        <w:rPr>
          <w:rFonts w:cs="標楷體"/>
          <w:b/>
          <w:color w:val="auto"/>
          <w:sz w:val="32"/>
          <w:szCs w:val="32"/>
        </w:rPr>
        <w:t>徵求說明文件</w:t>
      </w:r>
    </w:p>
    <w:p w:rsidR="004B5592" w:rsidRDefault="00790E0E" w:rsidP="00790E0E">
      <w:pPr>
        <w:pStyle w:val="Default"/>
        <w:spacing w:beforeLines="50" w:before="120"/>
        <w:rPr>
          <w:sz w:val="28"/>
          <w:szCs w:val="28"/>
        </w:rPr>
      </w:pPr>
      <w:r>
        <w:rPr>
          <w:sz w:val="28"/>
          <w:szCs w:val="28"/>
        </w:rPr>
        <w:t>主旨：</w:t>
      </w:r>
      <w:bookmarkStart w:id="1" w:name="__DdeLink__3208_1485306912"/>
    </w:p>
    <w:p w:rsidR="006B3486" w:rsidRDefault="004C49B9" w:rsidP="004B5592">
      <w:pPr>
        <w:pStyle w:val="Default"/>
        <w:spacing w:beforeLines="50" w:before="120" w:line="480" w:lineRule="exact"/>
        <w:ind w:leftChars="295" w:left="708"/>
        <w:rPr>
          <w:sz w:val="28"/>
          <w:szCs w:val="28"/>
        </w:rPr>
      </w:pPr>
      <w:r>
        <w:rPr>
          <w:sz w:val="28"/>
          <w:szCs w:val="28"/>
        </w:rPr>
        <w:t>本站為</w:t>
      </w:r>
      <w:r w:rsidR="004420AC">
        <w:rPr>
          <w:sz w:val="28"/>
          <w:szCs w:val="28"/>
        </w:rPr>
        <w:t>提供北竿機場搭</w:t>
      </w:r>
      <w:r w:rsidR="00D07B81">
        <w:rPr>
          <w:sz w:val="28"/>
          <w:szCs w:val="28"/>
        </w:rPr>
        <w:t>機旅客多元</w:t>
      </w:r>
      <w:r>
        <w:rPr>
          <w:sz w:val="28"/>
          <w:szCs w:val="28"/>
        </w:rPr>
        <w:t>服務</w:t>
      </w:r>
      <w:r w:rsidR="004420AC">
        <w:rPr>
          <w:sz w:val="28"/>
          <w:szCs w:val="28"/>
        </w:rPr>
        <w:t>，</w:t>
      </w:r>
      <w:r w:rsidR="004463A1">
        <w:rPr>
          <w:sz w:val="28"/>
          <w:szCs w:val="28"/>
        </w:rPr>
        <w:t>活絡在地，</w:t>
      </w:r>
      <w:r w:rsidR="00790E0E">
        <w:rPr>
          <w:rFonts w:cs="新細明體"/>
          <w:sz w:val="28"/>
          <w:szCs w:val="28"/>
        </w:rPr>
        <w:t>特</w:t>
      </w:r>
      <w:r w:rsidR="00790E0E">
        <w:rPr>
          <w:sz w:val="28"/>
          <w:szCs w:val="28"/>
        </w:rPr>
        <w:t>辦理</w:t>
      </w:r>
      <w:r w:rsidR="004420AC">
        <w:rPr>
          <w:sz w:val="28"/>
          <w:szCs w:val="28"/>
        </w:rPr>
        <w:t>北竿機場航廈一樓設置一般商店</w:t>
      </w:r>
      <w:r w:rsidR="00790E0E">
        <w:rPr>
          <w:sz w:val="28"/>
          <w:szCs w:val="28"/>
        </w:rPr>
        <w:t>出租之服務經營權案營運計畫書之公開徵求，請有意願投標廠商踴躍提送</w:t>
      </w:r>
      <w:r w:rsidR="00790E0E">
        <w:rPr>
          <w:color w:val="000000" w:themeColor="text1"/>
          <w:sz w:val="28"/>
          <w:szCs w:val="28"/>
        </w:rPr>
        <w:t>計劃書</w:t>
      </w:r>
      <w:bookmarkEnd w:id="1"/>
      <w:r w:rsidR="00790E0E">
        <w:rPr>
          <w:sz w:val="28"/>
          <w:szCs w:val="28"/>
        </w:rPr>
        <w:t>。</w:t>
      </w:r>
    </w:p>
    <w:p w:rsidR="006B3486" w:rsidRDefault="00790E0E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公開徵求事項：</w:t>
      </w:r>
    </w:p>
    <w:p w:rsidR="006B3486" w:rsidRDefault="004420AC">
      <w:pPr>
        <w:pStyle w:val="ae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交通部民用航空局馬祖</w:t>
      </w:r>
      <w:r w:rsidR="00790E0E">
        <w:rPr>
          <w:rFonts w:ascii="標楷體" w:eastAsia="標楷體" w:hAnsi="標楷體" w:cs="標楷體"/>
          <w:sz w:val="28"/>
          <w:szCs w:val="28"/>
        </w:rPr>
        <w:t>航空站</w:t>
      </w:r>
      <w:r>
        <w:rPr>
          <w:rFonts w:ascii="標楷體" w:eastAsia="標楷體" w:hAnsi="標楷體"/>
          <w:sz w:val="28"/>
          <w:szCs w:val="28"/>
        </w:rPr>
        <w:t>北竿機場航廈一樓設置一般商店</w:t>
      </w:r>
      <w:r w:rsidR="00790E0E">
        <w:rPr>
          <w:rFonts w:ascii="標楷體" w:eastAsia="標楷體" w:hAnsi="標楷體"/>
          <w:color w:val="000000" w:themeColor="text1"/>
          <w:sz w:val="28"/>
          <w:szCs w:val="28"/>
        </w:rPr>
        <w:t>案</w:t>
      </w:r>
    </w:p>
    <w:p w:rsidR="006B3486" w:rsidRDefault="00790E0E">
      <w:pPr>
        <w:pStyle w:val="ae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租賃經營標的：於「</w:t>
      </w:r>
      <w:r w:rsidR="004420AC">
        <w:rPr>
          <w:rFonts w:ascii="標楷體" w:eastAsia="標楷體" w:hAnsi="標楷體"/>
          <w:sz w:val="28"/>
          <w:szCs w:val="28"/>
        </w:rPr>
        <w:t>北竿機場航廈一樓設置一般商店</w:t>
      </w:r>
      <w:r>
        <w:rPr>
          <w:rFonts w:ascii="標楷體" w:eastAsia="標楷體" w:hAnsi="標楷體"/>
          <w:sz w:val="28"/>
          <w:szCs w:val="28"/>
        </w:rPr>
        <w:t>」(租賃位置如附圖</w:t>
      </w:r>
      <w:r w:rsidR="0066751D">
        <w:rPr>
          <w:rFonts w:ascii="標楷體" w:eastAsia="標楷體" w:hAnsi="標楷體"/>
          <w:sz w:val="28"/>
          <w:szCs w:val="28"/>
        </w:rPr>
        <w:t>，面積為</w:t>
      </w:r>
      <w:r w:rsidR="0066751D" w:rsidRPr="0066751D">
        <w:rPr>
          <w:rFonts w:ascii="標楷體" w:eastAsia="標楷體" w:hAnsi="標楷體"/>
          <w:b/>
          <w:color w:val="auto"/>
          <w:sz w:val="28"/>
          <w:szCs w:val="28"/>
          <w:u w:val="single"/>
        </w:rPr>
        <w:t>64平方公尺</w:t>
      </w:r>
      <w:r w:rsidR="0066751D" w:rsidRPr="008E2772">
        <w:rPr>
          <w:rFonts w:ascii="標楷體" w:eastAsia="標楷體" w:hAnsi="標楷體" w:hint="eastAsia"/>
          <w:bCs/>
          <w:sz w:val="28"/>
          <w:szCs w:val="28"/>
        </w:rPr>
        <w:t>（以</w:t>
      </w:r>
      <w:r w:rsidR="0066751D" w:rsidRPr="00B223A6">
        <w:rPr>
          <w:rFonts w:ascii="標楷體" w:eastAsia="標楷體" w:hAnsi="標楷體" w:hint="eastAsia"/>
          <w:bCs/>
          <w:sz w:val="28"/>
          <w:szCs w:val="28"/>
        </w:rPr>
        <w:t>上面積含營業櫃檯等，</w:t>
      </w:r>
      <w:r w:rsidR="0066751D" w:rsidRPr="00B223A6">
        <w:rPr>
          <w:rFonts w:ascii="標楷體" w:eastAsia="標楷體" w:hAnsi="標楷體"/>
          <w:bCs/>
          <w:sz w:val="28"/>
          <w:szCs w:val="28"/>
        </w:rPr>
        <w:t>不滿1平方公尺以1平方公尺計算</w:t>
      </w:r>
      <w:r w:rsidR="0066751D">
        <w:rPr>
          <w:rFonts w:ascii="標楷體" w:eastAsia="標楷體" w:hAnsi="標楷體" w:hint="eastAsia"/>
          <w:bCs/>
          <w:sz w:val="28"/>
          <w:szCs w:val="28"/>
        </w:rPr>
        <w:t>，以實際丈量為準）</w:t>
      </w:r>
      <w:r>
        <w:rPr>
          <w:rFonts w:ascii="標楷體" w:eastAsia="標楷體" w:hAnsi="標楷體"/>
          <w:sz w:val="28"/>
          <w:szCs w:val="28"/>
        </w:rPr>
        <w:t>)，請廠商赴現場評估可設置空間，並於營運計畫書中標示</w:t>
      </w:r>
      <w:r w:rsidR="004420AC">
        <w:rPr>
          <w:rFonts w:ascii="標楷體" w:eastAsia="標楷體" w:hAnsi="標楷體"/>
          <w:sz w:val="28"/>
          <w:szCs w:val="28"/>
        </w:rPr>
        <w:t>。</w:t>
      </w:r>
    </w:p>
    <w:p w:rsidR="006B3486" w:rsidRDefault="00790E0E">
      <w:pPr>
        <w:pStyle w:val="ae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營業項目及經營限制：</w:t>
      </w:r>
    </w:p>
    <w:p w:rsidR="006B3486" w:rsidRDefault="00790E0E" w:rsidP="004420AC">
      <w:pPr>
        <w:pStyle w:val="ae"/>
        <w:numPr>
          <w:ilvl w:val="0"/>
          <w:numId w:val="4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營業項目：</w:t>
      </w:r>
    </w:p>
    <w:p w:rsidR="004420AC" w:rsidRPr="004420AC" w:rsidRDefault="004420AC" w:rsidP="004420AC">
      <w:pPr>
        <w:pStyle w:val="ae"/>
        <w:numPr>
          <w:ilvl w:val="0"/>
          <w:numId w:val="6"/>
        </w:numPr>
        <w:snapToGrid w:val="0"/>
        <w:spacing w:line="520" w:lineRule="exact"/>
        <w:outlineLvl w:val="0"/>
        <w:rPr>
          <w:rFonts w:ascii="標楷體" w:eastAsia="標楷體" w:hAnsi="標楷體"/>
          <w:bCs/>
          <w:sz w:val="28"/>
          <w:szCs w:val="28"/>
        </w:rPr>
      </w:pPr>
      <w:r w:rsidRPr="004420AC">
        <w:rPr>
          <w:rFonts w:ascii="標楷體" w:eastAsia="標楷體" w:hAnsi="標楷體"/>
          <w:bCs/>
          <w:sz w:val="28"/>
          <w:szCs w:val="28"/>
        </w:rPr>
        <w:t>銷售</w:t>
      </w:r>
      <w:r w:rsidRPr="004420AC">
        <w:rPr>
          <w:rFonts w:ascii="標楷體" w:eastAsia="標楷體" w:hAnsi="標楷體" w:hint="eastAsia"/>
          <w:bCs/>
          <w:sz w:val="28"/>
          <w:szCs w:val="28"/>
        </w:rPr>
        <w:t>一般商品。</w:t>
      </w:r>
    </w:p>
    <w:p w:rsidR="004420AC" w:rsidRPr="004420AC" w:rsidRDefault="004420AC" w:rsidP="004420AC">
      <w:pPr>
        <w:pStyle w:val="ae"/>
        <w:numPr>
          <w:ilvl w:val="0"/>
          <w:numId w:val="6"/>
        </w:numPr>
        <w:snapToGrid w:val="0"/>
        <w:spacing w:line="520" w:lineRule="exact"/>
        <w:outlineLvl w:val="0"/>
        <w:rPr>
          <w:rFonts w:ascii="標楷體" w:eastAsia="標楷體" w:hAnsi="標楷體"/>
          <w:bCs/>
          <w:sz w:val="28"/>
          <w:szCs w:val="28"/>
        </w:rPr>
      </w:pPr>
      <w:r w:rsidRPr="004420AC">
        <w:rPr>
          <w:rFonts w:ascii="標楷體" w:eastAsia="標楷體" w:hAnsi="標楷體" w:hint="eastAsia"/>
          <w:bCs/>
          <w:sz w:val="28"/>
          <w:szCs w:val="28"/>
        </w:rPr>
        <w:t>同一場所銷售多種商品。</w:t>
      </w:r>
    </w:p>
    <w:p w:rsidR="004420AC" w:rsidRPr="004420AC" w:rsidRDefault="004420AC" w:rsidP="004420AC">
      <w:pPr>
        <w:pStyle w:val="ae"/>
        <w:numPr>
          <w:ilvl w:val="0"/>
          <w:numId w:val="6"/>
        </w:numPr>
        <w:snapToGrid w:val="0"/>
        <w:spacing w:line="520" w:lineRule="exact"/>
        <w:outlineLvl w:val="0"/>
        <w:rPr>
          <w:rFonts w:ascii="標楷體" w:eastAsia="標楷體" w:hAnsi="標楷體"/>
          <w:bCs/>
          <w:sz w:val="28"/>
          <w:szCs w:val="28"/>
        </w:rPr>
      </w:pPr>
      <w:r w:rsidRPr="004420AC">
        <w:rPr>
          <w:rFonts w:ascii="標楷體" w:eastAsia="標楷體" w:hAnsi="標楷體"/>
          <w:bCs/>
          <w:sz w:val="28"/>
          <w:szCs w:val="28"/>
        </w:rPr>
        <w:t>提供便利性商品，如速食品、飲料、日常用品及服務性商品，以滿足顧客即刻所需之行業。</w:t>
      </w:r>
    </w:p>
    <w:p w:rsidR="004420AC" w:rsidRPr="004420AC" w:rsidRDefault="004420AC" w:rsidP="004420AC">
      <w:pPr>
        <w:pStyle w:val="ae"/>
        <w:numPr>
          <w:ilvl w:val="0"/>
          <w:numId w:val="6"/>
        </w:numPr>
        <w:snapToGrid w:val="0"/>
        <w:spacing w:line="520" w:lineRule="exact"/>
        <w:outlineLvl w:val="0"/>
        <w:rPr>
          <w:rFonts w:ascii="標楷體" w:eastAsia="標楷體" w:hAnsi="標楷體"/>
          <w:bCs/>
          <w:sz w:val="28"/>
          <w:szCs w:val="28"/>
        </w:rPr>
      </w:pPr>
      <w:r w:rsidRPr="004420AC">
        <w:rPr>
          <w:rFonts w:ascii="標楷體" w:eastAsia="標楷體" w:hAnsi="標楷體" w:hint="eastAsia"/>
          <w:bCs/>
          <w:sz w:val="28"/>
          <w:szCs w:val="28"/>
        </w:rPr>
        <w:t>為提供更多樣化服務，得標廠商可依營運後實際旅客需求，提出增加營業地點之建議，經本站審核同意後經營。</w:t>
      </w:r>
    </w:p>
    <w:p w:rsidR="004420AC" w:rsidRPr="004420AC" w:rsidRDefault="004420AC" w:rsidP="004420AC">
      <w:pPr>
        <w:pStyle w:val="ae"/>
        <w:numPr>
          <w:ilvl w:val="0"/>
          <w:numId w:val="6"/>
        </w:numPr>
        <w:snapToGrid w:val="0"/>
        <w:spacing w:line="520" w:lineRule="exact"/>
        <w:outlineLvl w:val="0"/>
        <w:rPr>
          <w:rFonts w:ascii="標楷體" w:eastAsia="標楷體" w:hAnsi="標楷體"/>
          <w:bCs/>
          <w:sz w:val="28"/>
          <w:szCs w:val="28"/>
        </w:rPr>
      </w:pPr>
      <w:r w:rsidRPr="004420AC">
        <w:rPr>
          <w:rFonts w:ascii="標楷體" w:eastAsia="標楷體" w:hAnsi="標楷體" w:hint="eastAsia"/>
          <w:bCs/>
          <w:sz w:val="28"/>
          <w:szCs w:val="28"/>
        </w:rPr>
        <w:t>得</w:t>
      </w:r>
      <w:r w:rsidRPr="004420AC">
        <w:rPr>
          <w:rFonts w:ascii="標楷體" w:eastAsia="標楷體" w:hAnsi="標楷體"/>
          <w:bCs/>
          <w:sz w:val="28"/>
          <w:szCs w:val="28"/>
        </w:rPr>
        <w:t>標</w:t>
      </w:r>
      <w:r w:rsidRPr="004420AC">
        <w:rPr>
          <w:rFonts w:ascii="標楷體" w:eastAsia="標楷體" w:hAnsi="標楷體" w:hint="eastAsia"/>
          <w:bCs/>
          <w:sz w:val="28"/>
          <w:szCs w:val="28"/>
        </w:rPr>
        <w:t>廠</w:t>
      </w:r>
      <w:r w:rsidRPr="004420AC">
        <w:rPr>
          <w:rFonts w:ascii="標楷體" w:eastAsia="標楷體" w:hAnsi="標楷體"/>
          <w:bCs/>
          <w:sz w:val="28"/>
          <w:szCs w:val="28"/>
        </w:rPr>
        <w:t>商得經營經本站核</w:t>
      </w:r>
      <w:r w:rsidRPr="004420AC">
        <w:rPr>
          <w:rFonts w:ascii="標楷體" w:eastAsia="標楷體" w:hAnsi="標楷體" w:hint="eastAsia"/>
          <w:bCs/>
          <w:sz w:val="28"/>
          <w:szCs w:val="28"/>
        </w:rPr>
        <w:t>准</w:t>
      </w:r>
      <w:r w:rsidRPr="004420AC">
        <w:rPr>
          <w:rFonts w:ascii="標楷體" w:eastAsia="標楷體" w:hAnsi="標楷體"/>
          <w:bCs/>
          <w:sz w:val="28"/>
          <w:szCs w:val="28"/>
        </w:rPr>
        <w:t>之其</w:t>
      </w:r>
      <w:r w:rsidRPr="004420AC">
        <w:rPr>
          <w:rFonts w:ascii="標楷體" w:eastAsia="標楷體" w:hAnsi="標楷體" w:hint="eastAsia"/>
          <w:bCs/>
          <w:sz w:val="28"/>
          <w:szCs w:val="28"/>
        </w:rPr>
        <w:t>它</w:t>
      </w:r>
      <w:r w:rsidRPr="004420AC">
        <w:rPr>
          <w:rFonts w:ascii="標楷體" w:eastAsia="標楷體" w:hAnsi="標楷體"/>
          <w:bCs/>
          <w:sz w:val="28"/>
          <w:szCs w:val="28"/>
        </w:rPr>
        <w:t>經營</w:t>
      </w:r>
      <w:r w:rsidRPr="004420AC">
        <w:rPr>
          <w:rFonts w:ascii="標楷體" w:eastAsia="標楷體" w:hAnsi="標楷體" w:hint="eastAsia"/>
          <w:bCs/>
          <w:sz w:val="28"/>
          <w:szCs w:val="28"/>
        </w:rPr>
        <w:t>類別</w:t>
      </w:r>
      <w:r w:rsidRPr="004420AC">
        <w:rPr>
          <w:rFonts w:ascii="標楷體" w:eastAsia="標楷體" w:hAnsi="標楷體"/>
          <w:bCs/>
          <w:sz w:val="28"/>
          <w:szCs w:val="28"/>
        </w:rPr>
        <w:t>項目，</w:t>
      </w:r>
      <w:r w:rsidRPr="004420AC">
        <w:rPr>
          <w:rFonts w:ascii="標楷體" w:eastAsia="標楷體" w:hAnsi="標楷體" w:hint="eastAsia"/>
          <w:bCs/>
          <w:sz w:val="28"/>
          <w:szCs w:val="28"/>
        </w:rPr>
        <w:t>禁</w:t>
      </w:r>
      <w:r w:rsidRPr="004420AC">
        <w:rPr>
          <w:rFonts w:ascii="標楷體" w:eastAsia="標楷體" w:hAnsi="標楷體"/>
          <w:bCs/>
          <w:sz w:val="28"/>
          <w:szCs w:val="28"/>
        </w:rPr>
        <w:t>止經營未經本站核准之其</w:t>
      </w:r>
      <w:r w:rsidRPr="004420AC">
        <w:rPr>
          <w:rFonts w:ascii="標楷體" w:eastAsia="標楷體" w:hAnsi="標楷體" w:hint="eastAsia"/>
          <w:bCs/>
          <w:sz w:val="28"/>
          <w:szCs w:val="28"/>
        </w:rPr>
        <w:t>它</w:t>
      </w:r>
      <w:r w:rsidRPr="004420AC">
        <w:rPr>
          <w:rFonts w:ascii="標楷體" w:eastAsia="標楷體" w:hAnsi="標楷體"/>
          <w:bCs/>
          <w:sz w:val="28"/>
          <w:szCs w:val="28"/>
        </w:rPr>
        <w:t>項目。</w:t>
      </w:r>
    </w:p>
    <w:p w:rsidR="006B3486" w:rsidRDefault="00790E0E">
      <w:pPr>
        <w:pStyle w:val="ae"/>
        <w:spacing w:line="6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 經營限制：</w:t>
      </w:r>
    </w:p>
    <w:p w:rsidR="0052274C" w:rsidRDefault="004420AC" w:rsidP="0052274C">
      <w:pPr>
        <w:pStyle w:val="ae"/>
        <w:numPr>
          <w:ilvl w:val="0"/>
          <w:numId w:val="7"/>
        </w:numPr>
        <w:snapToGrid w:val="0"/>
        <w:spacing w:line="520" w:lineRule="exact"/>
        <w:outlineLvl w:val="0"/>
        <w:rPr>
          <w:rFonts w:ascii="標楷體" w:eastAsia="標楷體" w:hAnsi="標楷體"/>
          <w:bCs/>
          <w:sz w:val="28"/>
          <w:szCs w:val="28"/>
        </w:rPr>
      </w:pPr>
      <w:r w:rsidRPr="004420AC">
        <w:rPr>
          <w:rFonts w:ascii="標楷體" w:eastAsia="標楷體" w:hAnsi="標楷體" w:hint="eastAsia"/>
          <w:bCs/>
          <w:sz w:val="28"/>
          <w:szCs w:val="28"/>
        </w:rPr>
        <w:t>不得販售對環境衛生不良之食品、違禁品、非法商品及經政府法令禁止販售之物品或食品。</w:t>
      </w:r>
    </w:p>
    <w:p w:rsidR="0052274C" w:rsidRPr="0066751D" w:rsidRDefault="0052274C" w:rsidP="0052274C">
      <w:pPr>
        <w:pStyle w:val="ae"/>
        <w:numPr>
          <w:ilvl w:val="0"/>
          <w:numId w:val="7"/>
        </w:numPr>
        <w:snapToGrid w:val="0"/>
        <w:spacing w:line="520" w:lineRule="exact"/>
        <w:outlineLvl w:val="0"/>
        <w:rPr>
          <w:rFonts w:ascii="標楷體" w:eastAsia="標楷體" w:hAnsi="標楷體"/>
          <w:bCs/>
          <w:color w:val="FF0000"/>
          <w:sz w:val="28"/>
          <w:szCs w:val="28"/>
        </w:rPr>
      </w:pPr>
      <w:r w:rsidRPr="0066751D">
        <w:rPr>
          <w:rFonts w:eastAsia="標楷體" w:hint="eastAsia"/>
          <w:color w:val="FF0000"/>
          <w:sz w:val="28"/>
        </w:rPr>
        <w:t>各營業項目如於現場烹煮、烘烤、油炸不得產生油煙及強烈</w:t>
      </w:r>
      <w:r w:rsidRPr="0066751D">
        <w:rPr>
          <w:rFonts w:eastAsia="標楷體" w:hint="eastAsia"/>
          <w:color w:val="FF0000"/>
          <w:sz w:val="28"/>
        </w:rPr>
        <w:lastRenderedPageBreak/>
        <w:t>氣味，且均不得使用明火及瓦斯。加熱冷藏電器應符合用電安全。</w:t>
      </w:r>
    </w:p>
    <w:p w:rsidR="006B3486" w:rsidRDefault="00790E0E">
      <w:pPr>
        <w:pStyle w:val="ae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投資人資格：須為依法設立登記之行號或公司組織。</w:t>
      </w:r>
    </w:p>
    <w:p w:rsidR="006B3486" w:rsidRPr="0066751D" w:rsidRDefault="00790E0E">
      <w:pPr>
        <w:pStyle w:val="ae"/>
        <w:numPr>
          <w:ilvl w:val="0"/>
          <w:numId w:val="1"/>
        </w:numPr>
        <w:spacing w:line="600" w:lineRule="exact"/>
        <w:rPr>
          <w:rFonts w:ascii="標楷體" w:eastAsia="標楷體" w:hAnsi="標楷體"/>
          <w:color w:val="auto"/>
          <w:sz w:val="28"/>
          <w:szCs w:val="28"/>
        </w:rPr>
      </w:pPr>
      <w:r w:rsidRPr="0066751D">
        <w:rPr>
          <w:rFonts w:ascii="標楷體" w:eastAsia="標楷體" w:hAnsi="標楷體"/>
          <w:color w:val="auto"/>
          <w:sz w:val="28"/>
          <w:szCs w:val="28"/>
        </w:rPr>
        <w:t>投資經營計畫書內容應包含：</w:t>
      </w:r>
    </w:p>
    <w:p w:rsidR="0090627B" w:rsidRPr="0090627B" w:rsidRDefault="001E0710" w:rsidP="001E0710">
      <w:pPr>
        <w:pStyle w:val="ae"/>
        <w:numPr>
          <w:ilvl w:val="0"/>
          <w:numId w:val="8"/>
        </w:numPr>
        <w:spacing w:line="600" w:lineRule="exact"/>
        <w:rPr>
          <w:rFonts w:ascii="標楷體" w:eastAsia="標楷體" w:hAnsi="標楷體"/>
          <w:sz w:val="27"/>
          <w:szCs w:val="27"/>
        </w:rPr>
      </w:pPr>
      <w:r w:rsidRPr="001E0710">
        <w:rPr>
          <w:rFonts w:ascii="標楷體" w:eastAsia="標楷體" w:hAnsi="標楷體"/>
          <w:color w:val="auto"/>
          <w:sz w:val="28"/>
          <w:szCs w:val="28"/>
        </w:rPr>
        <w:t>營運計畫</w:t>
      </w:r>
      <w:r w:rsidR="0090627B">
        <w:rPr>
          <w:rFonts w:ascii="標楷體" w:eastAsia="標楷體" w:hAnsi="標楷體" w:hint="eastAsia"/>
          <w:color w:val="auto"/>
          <w:sz w:val="28"/>
          <w:szCs w:val="28"/>
        </w:rPr>
        <w:t>：</w:t>
      </w:r>
    </w:p>
    <w:p w:rsidR="0090627B" w:rsidRDefault="001E0710" w:rsidP="0090627B">
      <w:pPr>
        <w:pStyle w:val="ae"/>
        <w:numPr>
          <w:ilvl w:val="0"/>
          <w:numId w:val="10"/>
        </w:numPr>
        <w:spacing w:line="600" w:lineRule="exact"/>
        <w:rPr>
          <w:rFonts w:ascii="標楷體" w:eastAsia="標楷體" w:hAnsi="標楷體"/>
          <w:sz w:val="27"/>
          <w:szCs w:val="27"/>
        </w:rPr>
      </w:pPr>
      <w:r w:rsidRPr="001E0710">
        <w:rPr>
          <w:rFonts w:ascii="標楷體" w:eastAsia="標楷體" w:hAnsi="標楷體"/>
          <w:color w:val="auto"/>
          <w:sz w:val="28"/>
          <w:szCs w:val="28"/>
        </w:rPr>
        <w:t>包含</w:t>
      </w:r>
      <w:r w:rsidR="00FA0C53">
        <w:rPr>
          <w:rFonts w:ascii="標楷體" w:eastAsia="標楷體" w:hAnsi="標楷體"/>
          <w:color w:val="000000" w:themeColor="text1"/>
          <w:sz w:val="28"/>
          <w:szCs w:val="28"/>
        </w:rPr>
        <w:t>營運組織、</w:t>
      </w:r>
      <w:r w:rsidRPr="001E0710">
        <w:rPr>
          <w:rFonts w:ascii="標楷體" w:eastAsia="標楷體" w:hAnsi="標楷體"/>
          <w:color w:val="auto"/>
          <w:sz w:val="28"/>
          <w:szCs w:val="28"/>
        </w:rPr>
        <w:t>整體空間規畫、櫃位之配置陳設規劃、</w:t>
      </w:r>
      <w:r w:rsidR="0090627B">
        <w:rPr>
          <w:rFonts w:ascii="標楷體" w:eastAsia="標楷體" w:hAnsi="標楷體" w:hint="eastAsia"/>
          <w:sz w:val="27"/>
          <w:szCs w:val="27"/>
        </w:rPr>
        <w:t>衛生安全污染防制規劃、施工管理規劃等。</w:t>
      </w:r>
    </w:p>
    <w:p w:rsidR="0090627B" w:rsidRDefault="001E0710" w:rsidP="0090627B">
      <w:pPr>
        <w:pStyle w:val="ae"/>
        <w:numPr>
          <w:ilvl w:val="0"/>
          <w:numId w:val="10"/>
        </w:numPr>
        <w:spacing w:line="600" w:lineRule="exact"/>
        <w:rPr>
          <w:rFonts w:ascii="標楷體" w:eastAsia="標楷體" w:hAnsi="標楷體"/>
          <w:sz w:val="27"/>
          <w:szCs w:val="27"/>
        </w:rPr>
      </w:pPr>
      <w:r w:rsidRPr="007002D4">
        <w:rPr>
          <w:rFonts w:ascii="標楷體" w:eastAsia="標楷體" w:hAnsi="標楷體" w:hint="eastAsia"/>
          <w:sz w:val="27"/>
          <w:szCs w:val="27"/>
        </w:rPr>
        <w:t>經營創</w:t>
      </w:r>
      <w:r w:rsidRPr="001E0710">
        <w:rPr>
          <w:rFonts w:ascii="標楷體" w:eastAsia="標楷體" w:hAnsi="標楷體" w:hint="eastAsia"/>
          <w:color w:val="auto"/>
          <w:sz w:val="27"/>
          <w:szCs w:val="27"/>
        </w:rPr>
        <w:t>意及特色</w:t>
      </w:r>
      <w:r w:rsidRPr="007002D4">
        <w:rPr>
          <w:rFonts w:ascii="標楷體" w:eastAsia="標楷體" w:hAnsi="標楷體" w:hint="eastAsia"/>
          <w:sz w:val="27"/>
          <w:szCs w:val="27"/>
        </w:rPr>
        <w:t>；</w:t>
      </w:r>
      <w:r w:rsidR="0090627B">
        <w:rPr>
          <w:rFonts w:ascii="標楷體" w:eastAsia="標楷體" w:hAnsi="標楷體" w:hint="eastAsia"/>
          <w:sz w:val="27"/>
          <w:szCs w:val="27"/>
        </w:rPr>
        <w:t>如產品項目</w:t>
      </w:r>
      <w:r w:rsidRPr="007002D4">
        <w:rPr>
          <w:rFonts w:ascii="標楷體" w:eastAsia="標楷體" w:hAnsi="標楷體" w:hint="eastAsia"/>
          <w:sz w:val="27"/>
          <w:szCs w:val="27"/>
        </w:rPr>
        <w:t>及特色；行銷策略規劃。</w:t>
      </w:r>
      <w:r w:rsidR="0090627B">
        <w:rPr>
          <w:rFonts w:ascii="標楷體" w:eastAsia="標楷體" w:hAnsi="標楷體"/>
          <w:sz w:val="27"/>
          <w:szCs w:val="27"/>
        </w:rPr>
        <w:t>商品販售計畫</w:t>
      </w:r>
      <w:r w:rsidR="0090627B">
        <w:rPr>
          <w:rFonts w:ascii="標楷體" w:eastAsia="標楷體" w:hAnsi="標楷體" w:hint="eastAsia"/>
          <w:sz w:val="27"/>
          <w:szCs w:val="27"/>
        </w:rPr>
        <w:t>。</w:t>
      </w:r>
    </w:p>
    <w:p w:rsidR="0090627B" w:rsidRDefault="0090627B" w:rsidP="0090627B">
      <w:pPr>
        <w:pStyle w:val="ae"/>
        <w:numPr>
          <w:ilvl w:val="0"/>
          <w:numId w:val="10"/>
        </w:numPr>
        <w:spacing w:line="6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販售規劃</w:t>
      </w:r>
      <w:r>
        <w:rPr>
          <w:rFonts w:ascii="標楷體" w:eastAsia="標楷體" w:hAnsi="標楷體" w:hint="eastAsia"/>
          <w:sz w:val="27"/>
          <w:szCs w:val="27"/>
        </w:rPr>
        <w:t>：</w:t>
      </w:r>
      <w:r>
        <w:rPr>
          <w:rFonts w:ascii="標楷體" w:eastAsia="標楷體" w:hAnsi="標楷體"/>
          <w:sz w:val="27"/>
          <w:szCs w:val="27"/>
        </w:rPr>
        <w:t>如</w:t>
      </w:r>
      <w:r w:rsidR="001E0710" w:rsidRPr="007002D4">
        <w:rPr>
          <w:rFonts w:ascii="標楷體" w:eastAsia="標楷體" w:hAnsi="標楷體"/>
          <w:sz w:val="27"/>
          <w:szCs w:val="27"/>
        </w:rPr>
        <w:t>商品開發機制、價位設定</w:t>
      </w:r>
      <w:r>
        <w:rPr>
          <w:rFonts w:ascii="標楷體" w:eastAsia="標楷體" w:hAnsi="標楷體" w:hint="eastAsia"/>
          <w:sz w:val="27"/>
          <w:szCs w:val="27"/>
        </w:rPr>
        <w:t>等。</w:t>
      </w:r>
    </w:p>
    <w:p w:rsidR="001E0710" w:rsidRPr="00CB769D" w:rsidRDefault="001E0710" w:rsidP="0090627B">
      <w:pPr>
        <w:pStyle w:val="ae"/>
        <w:numPr>
          <w:ilvl w:val="0"/>
          <w:numId w:val="10"/>
        </w:numPr>
        <w:spacing w:line="600" w:lineRule="exact"/>
        <w:rPr>
          <w:rFonts w:ascii="標楷體" w:eastAsia="標楷體" w:hAnsi="標楷體"/>
          <w:sz w:val="27"/>
          <w:szCs w:val="27"/>
        </w:rPr>
      </w:pPr>
      <w:r w:rsidRPr="007002D4">
        <w:rPr>
          <w:rFonts w:ascii="標楷體" w:eastAsia="標楷體" w:hAnsi="標楷體" w:hint="eastAsia"/>
          <w:sz w:val="27"/>
          <w:szCs w:val="27"/>
        </w:rPr>
        <w:t>整體形象規劃；</w:t>
      </w:r>
      <w:r w:rsidR="0090627B">
        <w:rPr>
          <w:rFonts w:ascii="標楷體" w:eastAsia="標楷體" w:hAnsi="標楷體" w:hint="eastAsia"/>
          <w:sz w:val="27"/>
          <w:szCs w:val="27"/>
        </w:rPr>
        <w:t>如</w:t>
      </w:r>
      <w:r w:rsidRPr="007002D4">
        <w:rPr>
          <w:rFonts w:ascii="標楷體" w:eastAsia="標楷體" w:hAnsi="標楷體" w:hint="eastAsia"/>
          <w:sz w:val="27"/>
          <w:szCs w:val="27"/>
        </w:rPr>
        <w:t>營運時程：說明本案修建與開始營運之時程</w:t>
      </w:r>
      <w:r w:rsidR="0052274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90627B" w:rsidRDefault="00CB769D" w:rsidP="00CB769D">
      <w:pPr>
        <w:pStyle w:val="ae"/>
        <w:numPr>
          <w:ilvl w:val="0"/>
          <w:numId w:val="8"/>
        </w:numPr>
        <w:spacing w:line="600" w:lineRule="exact"/>
        <w:rPr>
          <w:rFonts w:ascii="標楷體" w:eastAsia="標楷體" w:hAnsi="標楷體"/>
          <w:color w:val="auto"/>
          <w:sz w:val="28"/>
          <w:szCs w:val="28"/>
        </w:rPr>
      </w:pPr>
      <w:r w:rsidRPr="00CB769D">
        <w:rPr>
          <w:rFonts w:ascii="標楷體" w:eastAsia="標楷體" w:hAnsi="標楷體" w:hint="eastAsia"/>
          <w:color w:val="auto"/>
          <w:sz w:val="28"/>
          <w:szCs w:val="28"/>
        </w:rPr>
        <w:t>營運管理(</w:t>
      </w:r>
      <w:r w:rsidR="0090627B">
        <w:rPr>
          <w:rFonts w:ascii="標楷體" w:eastAsia="標楷體" w:hAnsi="標楷體" w:hint="eastAsia"/>
          <w:color w:val="auto"/>
          <w:sz w:val="28"/>
          <w:szCs w:val="28"/>
        </w:rPr>
        <w:t>可</w:t>
      </w:r>
      <w:r>
        <w:rPr>
          <w:rFonts w:ascii="標楷體" w:eastAsia="標楷體" w:hAnsi="標楷體" w:hint="eastAsia"/>
          <w:color w:val="auto"/>
          <w:sz w:val="28"/>
          <w:szCs w:val="28"/>
        </w:rPr>
        <w:t>包含</w:t>
      </w:r>
      <w:r w:rsidR="0090627B">
        <w:rPr>
          <w:rFonts w:ascii="標楷體" w:eastAsia="標楷體" w:hAnsi="標楷體" w:hint="eastAsia"/>
          <w:color w:val="auto"/>
          <w:sz w:val="28"/>
          <w:szCs w:val="28"/>
        </w:rPr>
        <w:t>以</w:t>
      </w:r>
      <w:r w:rsidR="0090627B">
        <w:rPr>
          <w:rFonts w:ascii="標楷體" w:eastAsia="標楷體" w:hAnsi="標楷體"/>
          <w:color w:val="auto"/>
          <w:sz w:val="28"/>
          <w:szCs w:val="28"/>
        </w:rPr>
        <w:t>下部份</w:t>
      </w:r>
      <w:r w:rsidR="0090627B">
        <w:rPr>
          <w:rFonts w:ascii="標楷體" w:eastAsia="標楷體" w:hAnsi="標楷體" w:hint="eastAsia"/>
          <w:color w:val="auto"/>
          <w:sz w:val="28"/>
          <w:szCs w:val="28"/>
        </w:rPr>
        <w:t>)</w:t>
      </w:r>
      <w:r w:rsidR="0090627B">
        <w:rPr>
          <w:rFonts w:ascii="標楷體" w:eastAsia="標楷體" w:hAnsi="標楷體"/>
          <w:color w:val="auto"/>
          <w:sz w:val="28"/>
          <w:szCs w:val="28"/>
        </w:rPr>
        <w:t>：</w:t>
      </w:r>
    </w:p>
    <w:p w:rsidR="0090627B" w:rsidRDefault="00CB769D" w:rsidP="0090627B">
      <w:pPr>
        <w:pStyle w:val="ae"/>
        <w:numPr>
          <w:ilvl w:val="0"/>
          <w:numId w:val="11"/>
        </w:numPr>
        <w:spacing w:line="600" w:lineRule="exact"/>
        <w:rPr>
          <w:rFonts w:ascii="標楷體" w:eastAsia="標楷體" w:hAnsi="標楷體"/>
          <w:color w:val="auto"/>
          <w:sz w:val="28"/>
          <w:szCs w:val="28"/>
        </w:rPr>
      </w:pPr>
      <w:r w:rsidRPr="0090627B">
        <w:rPr>
          <w:rFonts w:ascii="標楷體" w:eastAsia="標楷體" w:hAnsi="標楷體" w:hint="eastAsia"/>
          <w:color w:val="auto"/>
          <w:sz w:val="28"/>
          <w:szCs w:val="28"/>
        </w:rPr>
        <w:t>服務品質管理及監控計畫：</w:t>
      </w:r>
      <w:r w:rsidR="0090627B">
        <w:rPr>
          <w:rFonts w:ascii="標楷體" w:eastAsia="標楷體" w:hAnsi="標楷體" w:hint="eastAsia"/>
          <w:color w:val="auto"/>
          <w:sz w:val="28"/>
          <w:szCs w:val="28"/>
        </w:rPr>
        <w:t>例</w:t>
      </w:r>
      <w:r w:rsidR="0090627B">
        <w:rPr>
          <w:rFonts w:ascii="標楷體" w:eastAsia="標楷體" w:hAnsi="標楷體"/>
          <w:color w:val="auto"/>
          <w:sz w:val="28"/>
          <w:szCs w:val="28"/>
        </w:rPr>
        <w:t>如</w:t>
      </w:r>
      <w:r w:rsidRPr="0090627B">
        <w:rPr>
          <w:rFonts w:ascii="標楷體" w:eastAsia="標楷體" w:hAnsi="標楷體" w:hint="eastAsia"/>
          <w:color w:val="auto"/>
          <w:sz w:val="28"/>
          <w:szCs w:val="28"/>
        </w:rPr>
        <w:t>公共</w:t>
      </w:r>
      <w:r w:rsidR="0090627B">
        <w:rPr>
          <w:rFonts w:ascii="標楷體" w:eastAsia="標楷體" w:hAnsi="標楷體" w:hint="eastAsia"/>
          <w:color w:val="auto"/>
          <w:sz w:val="28"/>
          <w:szCs w:val="28"/>
        </w:rPr>
        <w:t>關係管理、主動監控、旅客申訴處理、服務人員訓練及品質監控計畫等。</w:t>
      </w:r>
    </w:p>
    <w:p w:rsidR="0090627B" w:rsidRDefault="00CB769D" w:rsidP="0090627B">
      <w:pPr>
        <w:pStyle w:val="ae"/>
        <w:numPr>
          <w:ilvl w:val="0"/>
          <w:numId w:val="11"/>
        </w:numPr>
        <w:spacing w:line="600" w:lineRule="exact"/>
        <w:rPr>
          <w:rFonts w:ascii="標楷體" w:eastAsia="標楷體" w:hAnsi="標楷體"/>
          <w:color w:val="auto"/>
          <w:sz w:val="28"/>
          <w:szCs w:val="28"/>
        </w:rPr>
      </w:pPr>
      <w:r w:rsidRPr="0090627B">
        <w:rPr>
          <w:rFonts w:ascii="標楷體" w:eastAsia="標楷體" w:hAnsi="標楷體"/>
          <w:color w:val="auto"/>
          <w:sz w:val="28"/>
          <w:szCs w:val="28"/>
        </w:rPr>
        <w:t>顧客服務計畫</w:t>
      </w:r>
      <w:r w:rsidRPr="0090627B">
        <w:rPr>
          <w:rFonts w:ascii="標楷體" w:eastAsia="標楷體" w:hAnsi="標楷體" w:hint="eastAsia"/>
          <w:color w:val="auto"/>
          <w:sz w:val="28"/>
          <w:szCs w:val="28"/>
        </w:rPr>
        <w:t>：如</w:t>
      </w:r>
      <w:r w:rsidRPr="0090627B">
        <w:rPr>
          <w:rFonts w:ascii="標楷體" w:eastAsia="標楷體" w:hAnsi="標楷體"/>
          <w:color w:val="auto"/>
          <w:sz w:val="28"/>
          <w:szCs w:val="28"/>
        </w:rPr>
        <w:t>促銷方案、</w:t>
      </w:r>
      <w:r w:rsidRPr="0090627B">
        <w:rPr>
          <w:rFonts w:ascii="標楷體" w:eastAsia="標楷體" w:hAnsi="標楷體" w:hint="eastAsia"/>
          <w:color w:val="auto"/>
          <w:sz w:val="28"/>
          <w:szCs w:val="28"/>
        </w:rPr>
        <w:t>站內員工</w:t>
      </w:r>
      <w:r w:rsidRPr="0090627B">
        <w:rPr>
          <w:rFonts w:ascii="標楷體" w:eastAsia="標楷體" w:hAnsi="標楷體"/>
          <w:color w:val="auto"/>
          <w:sz w:val="28"/>
          <w:szCs w:val="28"/>
        </w:rPr>
        <w:t>優惠方案</w:t>
      </w:r>
      <w:r w:rsidRPr="0090627B">
        <w:rPr>
          <w:rFonts w:ascii="標楷體" w:eastAsia="標楷體" w:hAnsi="標楷體" w:hint="eastAsia"/>
          <w:color w:val="auto"/>
          <w:sz w:val="28"/>
          <w:szCs w:val="28"/>
        </w:rPr>
        <w:t>；</w:t>
      </w:r>
      <w:r w:rsidRPr="0090627B">
        <w:rPr>
          <w:rFonts w:ascii="標楷體" w:eastAsia="標楷體" w:hAnsi="標楷體"/>
          <w:color w:val="auto"/>
          <w:sz w:val="28"/>
          <w:szCs w:val="28"/>
        </w:rPr>
        <w:t>服務品質及政策。</w:t>
      </w:r>
    </w:p>
    <w:p w:rsidR="00FA0C53" w:rsidRPr="0090627B" w:rsidRDefault="0052274C" w:rsidP="0090627B">
      <w:pPr>
        <w:pStyle w:val="ae"/>
        <w:numPr>
          <w:ilvl w:val="0"/>
          <w:numId w:val="8"/>
        </w:numPr>
        <w:spacing w:line="600" w:lineRule="exact"/>
        <w:rPr>
          <w:rFonts w:ascii="標楷體" w:eastAsia="標楷體" w:hAnsi="標楷體"/>
          <w:color w:val="auto"/>
          <w:sz w:val="28"/>
          <w:szCs w:val="28"/>
        </w:rPr>
      </w:pPr>
      <w:r w:rsidRPr="0090627B">
        <w:rPr>
          <w:rFonts w:ascii="標楷體" w:eastAsia="標楷體" w:hAnsi="標楷體"/>
          <w:color w:val="000000" w:themeColor="text1"/>
          <w:sz w:val="28"/>
          <w:szCs w:val="28"/>
        </w:rPr>
        <w:t>機關營收及設置效益評估(評估項目含</w:t>
      </w:r>
      <w:r w:rsidRPr="0090627B">
        <w:rPr>
          <w:rFonts w:ascii="標楷體" w:eastAsia="標楷體" w:hAnsi="標楷體"/>
          <w:b/>
          <w:color w:val="FF0000"/>
          <w:sz w:val="28"/>
          <w:szCs w:val="28"/>
          <w:u w:val="single"/>
        </w:rPr>
        <w:t>租任期限</w:t>
      </w:r>
      <w:r w:rsidRPr="0090627B">
        <w:rPr>
          <w:rFonts w:ascii="標楷體" w:eastAsia="標楷體" w:hAnsi="標楷體"/>
          <w:color w:val="000000" w:themeColor="text1"/>
          <w:sz w:val="28"/>
          <w:szCs w:val="28"/>
        </w:rPr>
        <w:t>建議，機關收取</w:t>
      </w:r>
      <w:r w:rsidRPr="0090627B">
        <w:rPr>
          <w:rFonts w:ascii="標楷體" w:eastAsia="標楷體" w:hAnsi="標楷體"/>
          <w:b/>
          <w:color w:val="FF0000"/>
          <w:sz w:val="28"/>
          <w:szCs w:val="28"/>
          <w:u w:val="single"/>
        </w:rPr>
        <w:t>房屋使用費每月每平方公尺532元</w:t>
      </w:r>
      <w:r w:rsidRPr="0090627B">
        <w:rPr>
          <w:rFonts w:ascii="標楷體" w:eastAsia="標楷體" w:hAnsi="標楷體"/>
          <w:color w:val="000000" w:themeColor="text1"/>
          <w:sz w:val="28"/>
          <w:szCs w:val="28"/>
        </w:rPr>
        <w:t>及</w:t>
      </w:r>
      <w:r w:rsidRPr="0090627B">
        <w:rPr>
          <w:rFonts w:ascii="標楷體" w:eastAsia="標楷體" w:hAnsi="標楷體"/>
          <w:b/>
          <w:color w:val="FF0000"/>
          <w:sz w:val="28"/>
          <w:szCs w:val="28"/>
          <w:u w:val="single"/>
        </w:rPr>
        <w:t>每月經營權利金</w:t>
      </w:r>
      <w:r w:rsidRPr="0090627B">
        <w:rPr>
          <w:rFonts w:ascii="標楷體" w:eastAsia="標楷體" w:hAnsi="標楷體"/>
          <w:color w:val="000000" w:themeColor="text1"/>
          <w:sz w:val="28"/>
          <w:szCs w:val="28"/>
        </w:rPr>
        <w:t>(後續辦理招標將按招標時廠商所報標價收取，可採</w:t>
      </w:r>
      <w:r w:rsidRPr="0090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定額</w:t>
      </w:r>
      <w:r w:rsidRPr="0090627B">
        <w:rPr>
          <w:rFonts w:ascii="標楷體" w:eastAsia="標楷體" w:hAnsi="標楷體"/>
          <w:color w:val="000000" w:themeColor="text1"/>
          <w:sz w:val="28"/>
          <w:szCs w:val="28"/>
        </w:rPr>
        <w:t>或</w:t>
      </w:r>
      <w:r w:rsidRPr="0090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營業額百分比</w:t>
      </w:r>
      <w:r w:rsidRPr="0090627B">
        <w:rPr>
          <w:rFonts w:ascii="標楷體" w:eastAsia="標楷體" w:hAnsi="標楷體"/>
          <w:color w:val="000000" w:themeColor="text1"/>
          <w:sz w:val="28"/>
          <w:szCs w:val="28"/>
        </w:rPr>
        <w:t>方式收取)。</w:t>
      </w:r>
    </w:p>
    <w:p w:rsidR="0052274C" w:rsidRDefault="0052274C" w:rsidP="0090627B">
      <w:pPr>
        <w:pStyle w:val="ae"/>
        <w:numPr>
          <w:ilvl w:val="0"/>
          <w:numId w:val="8"/>
        </w:num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以上請均於計畫書中呈現及建議。</w:t>
      </w:r>
    </w:p>
    <w:p w:rsidR="001E0710" w:rsidRPr="0052274C" w:rsidRDefault="001E0710" w:rsidP="0052274C">
      <w:pPr>
        <w:spacing w:line="6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4420AC" w:rsidRDefault="00790E0E" w:rsidP="001E0710">
      <w:pPr>
        <w:spacing w:line="600" w:lineRule="exact"/>
        <w:ind w:left="560" w:hanging="56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/>
          <w:color w:val="000000" w:themeColor="text1"/>
          <w:sz w:val="28"/>
          <w:szCs w:val="28"/>
        </w:rPr>
        <w:t>六、惠請有意願廠商提供</w:t>
      </w:r>
      <w:r>
        <w:rPr>
          <w:rFonts w:ascii="標楷體" w:eastAsia="標楷體" w:hAnsi="標楷體" w:cs="PMingLiU,Bold"/>
          <w:bCs/>
          <w:color w:val="000000" w:themeColor="text1"/>
          <w:sz w:val="28"/>
          <w:szCs w:val="28"/>
        </w:rPr>
        <w:t>參考資料1份，</w:t>
      </w:r>
      <w:r>
        <w:rPr>
          <w:rFonts w:ascii="標楷體" w:eastAsia="標楷體" w:hAnsi="標楷體" w:cs="新細明體"/>
          <w:color w:val="000000" w:themeColor="text1"/>
          <w:sz w:val="28"/>
          <w:szCs w:val="28"/>
        </w:rPr>
        <w:t>相關資料請傳真本站(傳真電話：</w:t>
      </w:r>
      <w:r w:rsidR="001E0710">
        <w:rPr>
          <w:rFonts w:ascii="標楷體" w:eastAsia="標楷體" w:hAnsi="標楷體" w:cs="新細明體"/>
          <w:color w:val="000000" w:themeColor="text1"/>
          <w:sz w:val="28"/>
          <w:szCs w:val="28"/>
        </w:rPr>
        <w:t>0836-5</w:t>
      </w:r>
      <w:r>
        <w:rPr>
          <w:rFonts w:ascii="標楷體" w:eastAsia="標楷體" w:hAnsi="標楷體" w:cs="新細明體"/>
          <w:color w:val="000000" w:themeColor="text1"/>
          <w:sz w:val="28"/>
          <w:szCs w:val="28"/>
        </w:rPr>
        <w:t>6504)或電子郵件信箱(</w:t>
      </w:r>
      <w:hyperlink r:id="rId8" w:history="1">
        <w:r w:rsidR="001E0710" w:rsidRPr="00AB73EA">
          <w:rPr>
            <w:rStyle w:val="af2"/>
            <w:rFonts w:ascii="標楷體" w:eastAsia="標楷體" w:hAnsi="標楷體" w:cs="新細明體"/>
            <w:sz w:val="28"/>
            <w:szCs w:val="28"/>
          </w:rPr>
          <w:t>mt8340@tsa.gov.tw</w:t>
        </w:r>
      </w:hyperlink>
      <w:r>
        <w:rPr>
          <w:rFonts w:ascii="標楷體" w:eastAsia="標楷體" w:hAnsi="標楷體" w:cs="新細明體"/>
          <w:color w:val="000000" w:themeColor="text1"/>
          <w:sz w:val="28"/>
          <w:szCs w:val="28"/>
        </w:rPr>
        <w:t>)</w:t>
      </w:r>
      <w:r w:rsidR="001E0710">
        <w:rPr>
          <w:rFonts w:ascii="標楷體" w:eastAsia="標楷體" w:hAnsi="標楷體" w:cs="新細明體"/>
          <w:color w:val="000000" w:themeColor="text1"/>
          <w:sz w:val="28"/>
          <w:szCs w:val="28"/>
        </w:rPr>
        <w:t>李</w:t>
      </w:r>
      <w:r w:rsidR="0052274C">
        <w:rPr>
          <w:rFonts w:ascii="標楷體" w:eastAsia="標楷體" w:hAnsi="標楷體" w:cs="新細明體"/>
          <w:color w:val="000000" w:themeColor="text1"/>
          <w:sz w:val="28"/>
          <w:szCs w:val="28"/>
        </w:rPr>
        <w:t>小姐</w:t>
      </w:r>
      <w:r>
        <w:rPr>
          <w:rFonts w:ascii="標楷體" w:eastAsia="標楷體" w:hAnsi="標楷體" w:cs="新細明體"/>
          <w:color w:val="000000" w:themeColor="text1"/>
          <w:sz w:val="28"/>
          <w:szCs w:val="28"/>
        </w:rPr>
        <w:t>收，電話：0836-</w:t>
      </w:r>
      <w:r w:rsidR="001E0710">
        <w:rPr>
          <w:rFonts w:ascii="標楷體" w:eastAsia="標楷體" w:hAnsi="標楷體" w:cs="新細明體"/>
          <w:color w:val="000000" w:themeColor="text1"/>
          <w:sz w:val="28"/>
          <w:szCs w:val="28"/>
        </w:rPr>
        <w:t>56606#138</w:t>
      </w:r>
      <w:r>
        <w:rPr>
          <w:rFonts w:ascii="標楷體" w:eastAsia="標楷體" w:hAnsi="標楷體" w:cs="新細明體"/>
          <w:color w:val="000000" w:themeColor="text1"/>
          <w:sz w:val="28"/>
          <w:szCs w:val="28"/>
        </w:rPr>
        <w:t>。</w:t>
      </w:r>
    </w:p>
    <w:p w:rsidR="004420AC" w:rsidRDefault="004420AC">
      <w:pPr>
        <w:widowControl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/>
          <w:color w:val="000000" w:themeColor="text1"/>
          <w:sz w:val="28"/>
          <w:szCs w:val="28"/>
        </w:rPr>
        <w:br w:type="page"/>
      </w:r>
    </w:p>
    <w:p w:rsidR="006B3486" w:rsidRDefault="0066751D" w:rsidP="001E0710">
      <w:pPr>
        <w:widowControl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323850</wp:posOffset>
            </wp:positionV>
            <wp:extent cx="6437630" cy="3602238"/>
            <wp:effectExtent l="0" t="0" r="1270" b="0"/>
            <wp:wrapNone/>
            <wp:docPr id="2" name="圖片 2" descr="1604537453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045374534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360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35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5.05pt;margin-top:350.95pt;width:374.25pt;height:280.55pt;z-index:251660288;mso-position-horizontal-relative:text;mso-position-vertical-relative:text;mso-width-relative:page;mso-height-relative:page">
            <v:imagedata r:id="rId10" o:title="S__257212419"/>
          </v:shape>
        </w:pict>
      </w:r>
    </w:p>
    <w:sectPr w:rsidR="006B3486">
      <w:pgSz w:w="11906" w:h="16838"/>
      <w:pgMar w:top="1440" w:right="1304" w:bottom="851" w:left="130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353" w:rsidRDefault="00E53353" w:rsidP="007C5E04">
      <w:r>
        <w:separator/>
      </w:r>
    </w:p>
  </w:endnote>
  <w:endnote w:type="continuationSeparator" w:id="0">
    <w:p w:rsidR="00E53353" w:rsidRDefault="00E53353" w:rsidP="007C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,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353" w:rsidRDefault="00E53353" w:rsidP="007C5E04">
      <w:r>
        <w:separator/>
      </w:r>
    </w:p>
  </w:footnote>
  <w:footnote w:type="continuationSeparator" w:id="0">
    <w:p w:rsidR="00E53353" w:rsidRDefault="00E53353" w:rsidP="007C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B1770"/>
    <w:multiLevelType w:val="hybridMultilevel"/>
    <w:tmpl w:val="69AEC30A"/>
    <w:lvl w:ilvl="0" w:tplc="FD622AB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Times New Roman" w:hint="eastAsia"/>
        <w:b w:val="0"/>
        <w:color w:val="000080"/>
      </w:rPr>
    </w:lvl>
    <w:lvl w:ilvl="1" w:tplc="7CFAE00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4962C4D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eastAsia"/>
      </w:rPr>
    </w:lvl>
    <w:lvl w:ilvl="3" w:tplc="0C14DA8C">
      <w:start w:val="1"/>
      <w:numFmt w:val="decimal"/>
      <w:lvlText w:val="（%4）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42626D"/>
    <w:multiLevelType w:val="multilevel"/>
    <w:tmpl w:val="898071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9D06F79"/>
    <w:multiLevelType w:val="multilevel"/>
    <w:tmpl w:val="8E0E52AE"/>
    <w:lvl w:ilvl="0">
      <w:start w:val="1"/>
      <w:numFmt w:val="taiwaneseCountingThousand"/>
      <w:lvlText w:val="(%1)"/>
      <w:lvlJc w:val="left"/>
      <w:pPr>
        <w:ind w:left="1440" w:hanging="720"/>
      </w:pPr>
      <w:rPr>
        <w:rFonts w:ascii="標楷體" w:hAnsi="標楷體"/>
        <w:color w:val="00000A"/>
        <w:sz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B5D7821"/>
    <w:multiLevelType w:val="hybridMultilevel"/>
    <w:tmpl w:val="7A32397A"/>
    <w:lvl w:ilvl="0" w:tplc="A614D28A">
      <w:start w:val="1"/>
      <w:numFmt w:val="decimal"/>
      <w:lvlText w:val="%1、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4" w15:restartNumberingAfterBreak="0">
    <w:nsid w:val="1F467DC5"/>
    <w:multiLevelType w:val="hybridMultilevel"/>
    <w:tmpl w:val="90B0463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2BEE7E71"/>
    <w:multiLevelType w:val="hybridMultilevel"/>
    <w:tmpl w:val="9A5AF29E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2" w:hanging="480"/>
      </w:pPr>
    </w:lvl>
    <w:lvl w:ilvl="2" w:tplc="0409001B" w:tentative="1">
      <w:start w:val="1"/>
      <w:numFmt w:val="lowerRoman"/>
      <w:lvlText w:val="%3."/>
      <w:lvlJc w:val="right"/>
      <w:pPr>
        <w:ind w:left="2562" w:hanging="480"/>
      </w:pPr>
    </w:lvl>
    <w:lvl w:ilvl="3" w:tplc="0409000F" w:tentative="1">
      <w:start w:val="1"/>
      <w:numFmt w:val="decimal"/>
      <w:lvlText w:val="%4."/>
      <w:lvlJc w:val="left"/>
      <w:pPr>
        <w:ind w:left="3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2" w:hanging="480"/>
      </w:pPr>
    </w:lvl>
    <w:lvl w:ilvl="5" w:tplc="0409001B" w:tentative="1">
      <w:start w:val="1"/>
      <w:numFmt w:val="lowerRoman"/>
      <w:lvlText w:val="%6."/>
      <w:lvlJc w:val="right"/>
      <w:pPr>
        <w:ind w:left="4002" w:hanging="480"/>
      </w:pPr>
    </w:lvl>
    <w:lvl w:ilvl="6" w:tplc="0409000F" w:tentative="1">
      <w:start w:val="1"/>
      <w:numFmt w:val="decimal"/>
      <w:lvlText w:val="%7."/>
      <w:lvlJc w:val="left"/>
      <w:pPr>
        <w:ind w:left="4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2" w:hanging="480"/>
      </w:pPr>
    </w:lvl>
    <w:lvl w:ilvl="8" w:tplc="0409001B" w:tentative="1">
      <w:start w:val="1"/>
      <w:numFmt w:val="lowerRoman"/>
      <w:lvlText w:val="%9."/>
      <w:lvlJc w:val="right"/>
      <w:pPr>
        <w:ind w:left="5442" w:hanging="480"/>
      </w:pPr>
    </w:lvl>
  </w:abstractNum>
  <w:abstractNum w:abstractNumId="6" w15:restartNumberingAfterBreak="0">
    <w:nsid w:val="31CB7551"/>
    <w:multiLevelType w:val="multilevel"/>
    <w:tmpl w:val="FD60FED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85797D"/>
    <w:multiLevelType w:val="hybridMultilevel"/>
    <w:tmpl w:val="3236BFF8"/>
    <w:lvl w:ilvl="0" w:tplc="4D46C59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C50211B"/>
    <w:multiLevelType w:val="hybridMultilevel"/>
    <w:tmpl w:val="90B0463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602A659C"/>
    <w:multiLevelType w:val="hybridMultilevel"/>
    <w:tmpl w:val="7A32397A"/>
    <w:lvl w:ilvl="0" w:tplc="A614D28A">
      <w:start w:val="1"/>
      <w:numFmt w:val="decimal"/>
      <w:lvlText w:val="%1、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0" w15:restartNumberingAfterBreak="0">
    <w:nsid w:val="761D0878"/>
    <w:multiLevelType w:val="hybridMultilevel"/>
    <w:tmpl w:val="8852471E"/>
    <w:lvl w:ilvl="0" w:tplc="DD12C07E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color w:val="auto"/>
        <w:sz w:val="28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86"/>
    <w:rsid w:val="001E0710"/>
    <w:rsid w:val="003302CF"/>
    <w:rsid w:val="004420AC"/>
    <w:rsid w:val="004463A1"/>
    <w:rsid w:val="004B5592"/>
    <w:rsid w:val="004C49B9"/>
    <w:rsid w:val="0052274C"/>
    <w:rsid w:val="0066751D"/>
    <w:rsid w:val="006B3486"/>
    <w:rsid w:val="00715DF1"/>
    <w:rsid w:val="00790E0E"/>
    <w:rsid w:val="007C5E04"/>
    <w:rsid w:val="0090627B"/>
    <w:rsid w:val="00BA62A0"/>
    <w:rsid w:val="00CB769D"/>
    <w:rsid w:val="00D07B81"/>
    <w:rsid w:val="00E53353"/>
    <w:rsid w:val="00E92B86"/>
    <w:rsid w:val="00FA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0356B4-6141-4047-B680-5DA31733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5B00"/>
    <w:rPr>
      <w:b/>
      <w:bCs/>
    </w:rPr>
  </w:style>
  <w:style w:type="character" w:customStyle="1" w:styleId="a4">
    <w:name w:val="網際網路連結"/>
    <w:basedOn w:val="a0"/>
    <w:uiPriority w:val="99"/>
    <w:unhideWhenUsed/>
    <w:rsid w:val="00242ADB"/>
    <w:rPr>
      <w:color w:val="0563C1" w:themeColor="hyperlink"/>
      <w:u w:val="single"/>
    </w:rPr>
  </w:style>
  <w:style w:type="character" w:customStyle="1" w:styleId="a5">
    <w:name w:val="頁首 字元"/>
    <w:basedOn w:val="a0"/>
    <w:uiPriority w:val="99"/>
    <w:qFormat/>
    <w:rsid w:val="00194401"/>
    <w:rPr>
      <w:sz w:val="20"/>
      <w:szCs w:val="20"/>
    </w:rPr>
  </w:style>
  <w:style w:type="character" w:customStyle="1" w:styleId="a6">
    <w:name w:val="頁尾 字元"/>
    <w:basedOn w:val="a0"/>
    <w:uiPriority w:val="99"/>
    <w:qFormat/>
    <w:rsid w:val="00194401"/>
    <w:rPr>
      <w:sz w:val="20"/>
      <w:szCs w:val="20"/>
    </w:rPr>
  </w:style>
  <w:style w:type="character" w:customStyle="1" w:styleId="a7">
    <w:name w:val="本文 字元"/>
    <w:basedOn w:val="a0"/>
    <w:uiPriority w:val="1"/>
    <w:qFormat/>
    <w:rsid w:val="009700F1"/>
    <w:rPr>
      <w:rFonts w:ascii="標楷體" w:eastAsia="標楷體" w:hAnsi="標楷體" w:cs="Times New Roman"/>
      <w:szCs w:val="24"/>
      <w:lang w:eastAsia="en-US"/>
    </w:rPr>
  </w:style>
  <w:style w:type="character" w:customStyle="1" w:styleId="a8">
    <w:name w:val="註解方塊文字 字元"/>
    <w:basedOn w:val="a0"/>
    <w:uiPriority w:val="99"/>
    <w:semiHidden/>
    <w:qFormat/>
    <w:rsid w:val="00AA1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ascii="標楷體" w:hAnsi="標楷體"/>
      <w:color w:val="00000A"/>
      <w:sz w:val="27"/>
    </w:rPr>
  </w:style>
  <w:style w:type="character" w:customStyle="1" w:styleId="ListLabel3">
    <w:name w:val="ListLabel 3"/>
    <w:qFormat/>
    <w:rPr>
      <w:rFonts w:ascii="標楷體" w:hAnsi="標楷體"/>
      <w:color w:val="00000A"/>
      <w:sz w:val="28"/>
    </w:rPr>
  </w:style>
  <w:style w:type="character" w:customStyle="1" w:styleId="ListLabel4">
    <w:name w:val="ListLabel 4"/>
    <w:qFormat/>
    <w:rPr>
      <w:rFonts w:ascii="標楷體" w:hAnsi="標楷體"/>
      <w:color w:val="00000A"/>
      <w:sz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Body Text"/>
    <w:basedOn w:val="a"/>
    <w:uiPriority w:val="1"/>
    <w:qFormat/>
    <w:rsid w:val="009700F1"/>
    <w:pPr>
      <w:spacing w:before="9"/>
      <w:ind w:left="1301"/>
    </w:pPr>
    <w:rPr>
      <w:rFonts w:ascii="標楷體" w:eastAsia="標楷體" w:hAnsi="標楷體" w:cs="Times New Roman"/>
      <w:szCs w:val="24"/>
      <w:lang w:eastAsia="en-US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Lucida Sans"/>
    </w:rPr>
  </w:style>
  <w:style w:type="paragraph" w:styleId="ae">
    <w:name w:val="List Paragraph"/>
    <w:basedOn w:val="a"/>
    <w:uiPriority w:val="34"/>
    <w:qFormat/>
    <w:rsid w:val="006A5B00"/>
    <w:pPr>
      <w:ind w:left="480"/>
    </w:pPr>
  </w:style>
  <w:style w:type="paragraph" w:customStyle="1" w:styleId="Default">
    <w:name w:val="Default"/>
    <w:qFormat/>
    <w:rsid w:val="00DD0EDB"/>
    <w:pPr>
      <w:widowControl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">
    <w:name w:val="header"/>
    <w:basedOn w:val="a"/>
    <w:uiPriority w:val="99"/>
    <w:unhideWhenUsed/>
    <w:rsid w:val="00194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uiPriority w:val="99"/>
    <w:unhideWhenUsed/>
    <w:rsid w:val="00194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AA1157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qFormat/>
    <w:rsid w:val="00BC1A65"/>
    <w:pPr>
      <w:widowControl/>
      <w:spacing w:before="11"/>
      <w:ind w:left="1298"/>
    </w:pPr>
    <w:rPr>
      <w:rFonts w:ascii="標楷體" w:eastAsia="標楷體" w:hAnsi="標楷體" w:cs="新細明體"/>
      <w:szCs w:val="24"/>
    </w:rPr>
  </w:style>
  <w:style w:type="character" w:styleId="af2">
    <w:name w:val="Hyperlink"/>
    <w:basedOn w:val="a0"/>
    <w:uiPriority w:val="99"/>
    <w:unhideWhenUsed/>
    <w:rsid w:val="001E07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8340@tsa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E9AE6-3E97-463F-BC4A-D176FB51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</dc:creator>
  <dc:description/>
  <cp:lastModifiedBy>Microsoft 帳戶</cp:lastModifiedBy>
  <cp:revision>2</cp:revision>
  <cp:lastPrinted>2023-01-05T07:44:00Z</cp:lastPrinted>
  <dcterms:created xsi:type="dcterms:W3CDTF">2024-03-25T03:43:00Z</dcterms:created>
  <dcterms:modified xsi:type="dcterms:W3CDTF">2024-03-25T03:43:00Z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