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6D4C48">
            <w:rPr>
              <w:rFonts w:ascii="標楷體" w:eastAsia="標楷體" w:hAnsi="標楷體" w:hint="eastAsia"/>
              <w:color w:val="0000FF"/>
              <w:spacing w:val="46"/>
              <w:w w:val="45"/>
              <w:kern w:val="0"/>
              <w:sz w:val="120"/>
              <w:szCs w:val="120"/>
              <w:fitText w:val="4412" w:id="-1565275904"/>
            </w:rPr>
            <w:t>【</w:t>
          </w:r>
          <w:r w:rsidR="004C27F2" w:rsidRPr="006D4C48">
            <w:rPr>
              <w:rFonts w:ascii="標楷體" w:eastAsia="標楷體" w:hAnsi="標楷體" w:hint="eastAsia"/>
              <w:color w:val="0000FF"/>
              <w:spacing w:val="46"/>
              <w:w w:val="45"/>
              <w:kern w:val="0"/>
              <w:sz w:val="120"/>
              <w:szCs w:val="120"/>
              <w:fitText w:val="4412" w:id="-1565275904"/>
            </w:rPr>
            <w:t>專案</w:t>
          </w:r>
          <w:r w:rsidR="006D4C48" w:rsidRPr="006D4C48">
            <w:rPr>
              <w:rFonts w:ascii="標楷體" w:eastAsia="標楷體" w:hAnsi="標楷體" w:hint="eastAsia"/>
              <w:color w:val="0000FF"/>
              <w:spacing w:val="46"/>
              <w:w w:val="45"/>
              <w:kern w:val="0"/>
              <w:sz w:val="120"/>
              <w:szCs w:val="120"/>
              <w:fitText w:val="4412" w:id="-1565275904"/>
            </w:rPr>
            <w:t>經理</w:t>
          </w:r>
          <w:r w:rsidR="006D4C48" w:rsidRPr="006D4C48">
            <w:rPr>
              <w:rFonts w:ascii="標楷體" w:eastAsia="標楷體" w:hAnsi="標楷體" w:hint="eastAsia"/>
              <w:color w:val="0000FF"/>
              <w:spacing w:val="46"/>
              <w:w w:val="52"/>
              <w:kern w:val="0"/>
              <w:sz w:val="120"/>
              <w:szCs w:val="120"/>
              <w:fitText w:val="4412" w:id="-1565275904"/>
            </w:rPr>
            <w:t>人</w:t>
          </w:r>
          <w:r w:rsidRPr="006D4C48">
            <w:rPr>
              <w:rFonts w:ascii="標楷體" w:eastAsia="標楷體" w:hAnsi="標楷體" w:hint="eastAsia"/>
              <w:color w:val="0000FF"/>
              <w:spacing w:val="1"/>
              <w:w w:val="45"/>
              <w:kern w:val="0"/>
              <w:sz w:val="120"/>
              <w:szCs w:val="120"/>
              <w:fitText w:val="4412" w:id="-1565275904"/>
            </w:rPr>
            <w:t>】</w:t>
          </w:r>
          <w:r w:rsidR="00277219" w:rsidRPr="006D4C48">
            <w:rPr>
              <w:rFonts w:ascii="標楷體" w:eastAsia="標楷體" w:hAnsi="標楷體" w:hint="eastAsia"/>
              <w:spacing w:val="28"/>
              <w:w w:val="48"/>
              <w:kern w:val="0"/>
              <w:sz w:val="120"/>
              <w:szCs w:val="120"/>
              <w:fitText w:val="3731" w:id="-1565275903"/>
            </w:rPr>
            <w:t>勞動</w:t>
          </w:r>
          <w:r w:rsidR="00277219" w:rsidRPr="006D4C48">
            <w:rPr>
              <w:rFonts w:ascii="標楷體" w:eastAsia="標楷體" w:hAnsi="標楷體" w:hint="eastAsia"/>
              <w:bCs/>
              <w:spacing w:val="28"/>
              <w:w w:val="48"/>
              <w:kern w:val="52"/>
              <w:sz w:val="120"/>
              <w:szCs w:val="120"/>
              <w:fitText w:val="3731" w:id="-1565275903"/>
            </w:rPr>
            <w:t>工作規</w:t>
          </w:r>
          <w:r w:rsidR="00277219" w:rsidRPr="006D4C48">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6D4C48">
            <w:rPr>
              <w:rFonts w:ascii="標楷體" w:eastAsia="標楷體" w:hAnsi="標楷體" w:hint="eastAsia"/>
              <w:spacing w:val="113"/>
              <w:kern w:val="0"/>
              <w:sz w:val="56"/>
              <w:szCs w:val="56"/>
              <w:fitText w:val="8820" w:id="-1591461374"/>
            </w:rPr>
            <w:t>中華民國</w:t>
          </w:r>
          <w:r w:rsidR="00797B74" w:rsidRPr="006D4C48">
            <w:rPr>
              <w:rFonts w:ascii="標楷體" w:eastAsia="標楷體" w:hAnsi="標楷體" w:hint="eastAsia"/>
              <w:spacing w:val="113"/>
              <w:kern w:val="0"/>
              <w:sz w:val="56"/>
              <w:szCs w:val="56"/>
              <w:fitText w:val="8820" w:id="-1591461374"/>
            </w:rPr>
            <w:t>112</w:t>
          </w:r>
          <w:r w:rsidRPr="006D4C48">
            <w:rPr>
              <w:rFonts w:ascii="標楷體" w:eastAsia="標楷體" w:hAnsi="標楷體" w:hint="eastAsia"/>
              <w:spacing w:val="113"/>
              <w:kern w:val="0"/>
              <w:sz w:val="56"/>
              <w:szCs w:val="56"/>
              <w:fitText w:val="8820" w:id="-1591461374"/>
            </w:rPr>
            <w:t>年</w:t>
          </w:r>
          <w:r w:rsidR="001D606B" w:rsidRPr="006D4C48">
            <w:rPr>
              <w:rFonts w:ascii="標楷體" w:eastAsia="標楷體" w:hAnsi="標楷體"/>
              <w:spacing w:val="113"/>
              <w:kern w:val="0"/>
              <w:sz w:val="56"/>
              <w:szCs w:val="56"/>
              <w:fitText w:val="8820" w:id="-1591461374"/>
            </w:rPr>
            <w:t>9</w:t>
          </w:r>
          <w:r w:rsidRPr="006D4C48">
            <w:rPr>
              <w:rFonts w:ascii="標楷體" w:eastAsia="標楷體" w:hAnsi="標楷體" w:hint="eastAsia"/>
              <w:spacing w:val="113"/>
              <w:kern w:val="0"/>
              <w:sz w:val="56"/>
              <w:szCs w:val="56"/>
              <w:fitText w:val="8820" w:id="-1591461374"/>
            </w:rPr>
            <w:t>月</w:t>
          </w:r>
          <w:r w:rsidR="006D4C48" w:rsidRPr="006D4C48">
            <w:rPr>
              <w:rFonts w:ascii="標楷體" w:eastAsia="標楷體" w:hAnsi="標楷體" w:hint="eastAsia"/>
              <w:spacing w:val="113"/>
              <w:kern w:val="0"/>
              <w:sz w:val="56"/>
              <w:szCs w:val="56"/>
              <w:fitText w:val="8820" w:id="-1591461374"/>
            </w:rPr>
            <w:t>20</w:t>
          </w:r>
          <w:bookmarkStart w:id="0" w:name="_GoBack"/>
          <w:bookmarkEnd w:id="0"/>
          <w:r w:rsidRPr="006D4C48">
            <w:rPr>
              <w:rFonts w:ascii="標楷體" w:eastAsia="標楷體" w:hAnsi="標楷體" w:hint="eastAsia"/>
              <w:spacing w:val="4"/>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Pr="007F5EB0" w:rsidRDefault="00A76755" w:rsidP="00167699">
      <w:pPr>
        <w:pStyle w:val="af0"/>
        <w:spacing w:beforeLines="50" w:before="180" w:after="72" w:line="400" w:lineRule="exac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6D4C48">
        <w:rPr>
          <w:rFonts w:ascii="Times New Roman" w:eastAsia="標楷體" w:hAnsi="標楷體" w:hint="eastAsia"/>
          <w:b/>
          <w:bCs/>
          <w:color w:val="0000FF"/>
          <w:kern w:val="52"/>
          <w:sz w:val="40"/>
          <w:szCs w:val="40"/>
        </w:rPr>
        <w:t>經理人</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4E051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1" w:name="_Toc92207968"/>
      <w:r w:rsidRPr="00B530D6">
        <w:rPr>
          <w:sz w:val="32"/>
        </w:rPr>
        <w:t>總　　則</w:t>
      </w:r>
      <w:bookmarkEnd w:id="1"/>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2" w:name="_Toc92207969"/>
      <w:r w:rsidRPr="00B530D6">
        <w:rPr>
          <w:sz w:val="32"/>
        </w:rPr>
        <w:t>受僱與解僱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w:t>
      </w:r>
      <w:r w:rsidRPr="00A81B9D">
        <w:rPr>
          <w:rFonts w:eastAsia="標楷體" w:hAnsi="標楷體" w:hint="eastAsia"/>
          <w:bCs/>
          <w:kern w:val="0"/>
          <w:sz w:val="28"/>
          <w:szCs w:val="28"/>
        </w:rPr>
        <w:lastRenderedPageBreak/>
        <w:t>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r w:rsidR="00167699" w:rsidRPr="00260BA1">
        <w:rPr>
          <w:rFonts w:ascii="Times New Roman" w:eastAsia="標楷體" w:hAnsi="標楷體"/>
          <w:color w:val="auto"/>
          <w:sz w:val="28"/>
          <w:szCs w:val="28"/>
        </w:rPr>
        <w:lastRenderedPageBreak/>
        <w:t>。</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07970"/>
      <w:r w:rsidRPr="00260BA1">
        <w:rPr>
          <w:sz w:val="32"/>
        </w:rPr>
        <w:t>工資、</w:t>
      </w:r>
      <w:r w:rsidRPr="00260BA1">
        <w:rPr>
          <w:rFonts w:hint="eastAsia"/>
          <w:sz w:val="32"/>
        </w:rPr>
        <w:t>津貼及獎金</w:t>
      </w:r>
      <w:bookmarkEnd w:id="3"/>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w:t>
      </w:r>
      <w:r w:rsidR="00CD3F05">
        <w:rPr>
          <w:rFonts w:ascii="Times New Roman" w:eastAsia="標楷體" w:hAnsi="標楷體" w:hint="eastAsia"/>
          <w:color w:val="auto"/>
          <w:sz w:val="28"/>
          <w:szCs w:val="28"/>
        </w:rPr>
        <w:lastRenderedPageBreak/>
        <w:t>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4" w:name="_Toc92207971"/>
      <w:r w:rsidRPr="00260BA1">
        <w:rPr>
          <w:sz w:val="32"/>
        </w:rPr>
        <w:t>工作時間、休息、休假、請假</w:t>
      </w:r>
      <w:bookmarkEnd w:id="4"/>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w:t>
      </w:r>
      <w:r w:rsidRPr="00260BA1">
        <w:rPr>
          <w:rFonts w:ascii="Times New Roman" w:eastAsia="標楷體" w:hAnsi="標楷體" w:hint="eastAsia"/>
          <w:color w:val="auto"/>
          <w:sz w:val="28"/>
          <w:szCs w:val="28"/>
        </w:rPr>
        <w:lastRenderedPageBreak/>
        <w:t>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w:t>
      </w:r>
      <w:r w:rsidR="00167699" w:rsidRPr="00260BA1">
        <w:rPr>
          <w:rFonts w:ascii="Times New Roman" w:eastAsia="標楷體" w:hAnsi="標楷體"/>
          <w:color w:val="auto"/>
          <w:sz w:val="28"/>
          <w:szCs w:val="28"/>
        </w:rPr>
        <w:lastRenderedPageBreak/>
        <w:t>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w:t>
      </w:r>
      <w:r w:rsidR="00167699" w:rsidRPr="006766E9">
        <w:rPr>
          <w:rFonts w:ascii="Times New Roman" w:eastAsia="標楷體" w:hAnsi="標楷體"/>
          <w:color w:val="auto"/>
          <w:sz w:val="28"/>
          <w:szCs w:val="28"/>
        </w:rPr>
        <w:lastRenderedPageBreak/>
        <w:t>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w:t>
      </w:r>
      <w:r w:rsidRPr="00E71170">
        <w:rPr>
          <w:rFonts w:eastAsia="標楷體" w:hAnsi="標楷體"/>
          <w:sz w:val="28"/>
        </w:rPr>
        <w:lastRenderedPageBreak/>
        <w:t>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lastRenderedPageBreak/>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1C" w:rsidRDefault="004E051C" w:rsidP="00B35F36">
      <w:r>
        <w:separator/>
      </w:r>
    </w:p>
  </w:endnote>
  <w:endnote w:type="continuationSeparator" w:id="0">
    <w:p w:rsidR="004E051C" w:rsidRDefault="004E051C"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6D4C48" w:rsidRPr="006D4C48">
      <w:rPr>
        <w:rFonts w:ascii="標楷體" w:eastAsia="標楷體" w:hAnsi="標楷體"/>
        <w:noProof/>
        <w:lang w:val="zh-TW"/>
      </w:rPr>
      <w:t>20</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1C" w:rsidRDefault="004E051C" w:rsidP="00B35F36">
      <w:r>
        <w:separator/>
      </w:r>
    </w:p>
  </w:footnote>
  <w:footnote w:type="continuationSeparator" w:id="0">
    <w:p w:rsidR="004E051C" w:rsidRDefault="004E051C"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E051C"/>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D4C48"/>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CB036E"/>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CAD1D-38CE-41AD-AD43-BAAB0B8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59</TotalTime>
  <Pages>1</Pages>
  <Words>1754</Words>
  <Characters>10001</Characters>
  <Application>Microsoft Office Word</Application>
  <DocSecurity>0</DocSecurity>
  <Lines>83</Lines>
  <Paragraphs>23</Paragraphs>
  <ScaleCrop>false</ScaleCrop>
  <Company>no</Company>
  <LinksUpToDate>false</LinksUpToDate>
  <CharactersWithSpaces>11732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22</cp:revision>
  <cp:lastPrinted>2023-08-21T03:28:00Z</cp:lastPrinted>
  <dcterms:created xsi:type="dcterms:W3CDTF">2019-05-03T06:34:00Z</dcterms:created>
  <dcterms:modified xsi:type="dcterms:W3CDTF">2023-09-20T00:23:00Z</dcterms:modified>
</cp:coreProperties>
</file>