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320" w:lineRule="exact"/>
        <w:jc w:val="center"/>
        <w:rPr>
          <w:rFonts w:hAnsi="標楷體" w:eastAsia="標楷體"/>
          <w:b/>
          <w:color w:val="000000"/>
          <w:szCs w:val="24"/>
        </w:rPr>
      </w:pPr>
      <w:r>
        <w:rPr>
          <w:rFonts w:hint="eastAsia" w:hAnsi="標楷體" w:eastAsia="標楷體"/>
          <w:b/>
          <w:color w:val="000000"/>
          <w:sz w:val="32"/>
          <w:szCs w:val="24"/>
        </w:rPr>
        <w:t>連江縣政府112年大專青年學生公部門暑期工讀</w:t>
      </w:r>
      <w:r>
        <w:rPr>
          <w:rFonts w:hAnsi="標楷體" w:eastAsia="標楷體"/>
          <w:b/>
          <w:color w:val="000000"/>
          <w:sz w:val="32"/>
          <w:szCs w:val="24"/>
        </w:rPr>
        <w:t>招募簡章</w:t>
      </w:r>
    </w:p>
    <w:p>
      <w:pPr>
        <w:snapToGrid w:val="0"/>
        <w:spacing w:line="320" w:lineRule="exact"/>
        <w:ind w:left="480" w:hanging="480" w:hangingChars="200"/>
        <w:jc w:val="both"/>
        <w:rPr>
          <w:rFonts w:eastAsia="標楷體"/>
          <w:bCs/>
          <w:color w:val="000000"/>
          <w:szCs w:val="24"/>
        </w:rPr>
      </w:pPr>
    </w:p>
    <w:p>
      <w:pPr>
        <w:snapToGrid w:val="0"/>
        <w:spacing w:line="32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因失業而影響子女就學權益，並增進本縣青年學生提早學習職場經驗及規劃個人生涯，本府特辦理112年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p>
      <w:pPr>
        <w:snapToGrid w:val="0"/>
        <w:spacing w:before="120" w:beforeLines="50" w:line="32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本計畫係向勞動部申請經費補助，依就業安定基金 112年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(一)基本條件：需同時符合以下條件者：</w:t>
      </w:r>
    </w:p>
    <w:p>
      <w:pPr>
        <w:widowControl/>
        <w:numPr>
          <w:ilvl w:val="3"/>
          <w:numId w:val="1"/>
        </w:numPr>
        <w:adjustRightInd w:val="0"/>
        <w:snapToGrid w:val="0"/>
        <w:spacing w:line="320" w:lineRule="exact"/>
        <w:ind w:left="851" w:hanging="284"/>
        <w:jc w:val="both"/>
        <w:rPr>
          <w:rFonts w:ascii="標楷體" w:hAnsi="標楷體" w:eastAsia="標楷體"/>
          <w:color w:val="auto"/>
        </w:rPr>
      </w:pPr>
      <w:r>
        <w:rPr>
          <w:rFonts w:hint="eastAsia" w:ascii="標楷體" w:hAnsi="標楷體" w:eastAsia="標楷體"/>
        </w:rPr>
        <w:t>學生本人設籍連江縣1年以上(以受理報名112年3月25</w:t>
      </w:r>
      <w:r>
        <w:rPr>
          <w:rFonts w:hint="eastAsia" w:ascii="標楷體" w:hAnsi="標楷體" w:eastAsia="標楷體"/>
          <w:color w:val="auto"/>
        </w:rPr>
        <w:t>日起往前推算1年，亦即 111年3月25日(含)以前設籍者）。</w:t>
      </w:r>
    </w:p>
    <w:p>
      <w:pPr>
        <w:widowControl/>
        <w:numPr>
          <w:ilvl w:val="0"/>
          <w:numId w:val="1"/>
        </w:numPr>
        <w:adjustRightInd w:val="0"/>
        <w:snapToGrid w:val="0"/>
        <w:spacing w:line="320" w:lineRule="exact"/>
        <w:ind w:left="851" w:hanging="284"/>
        <w:jc w:val="both"/>
        <w:rPr>
          <w:rFonts w:ascii="標楷體" w:hAnsi="標楷體" w:eastAsia="標楷體"/>
        </w:rPr>
      </w:pPr>
      <w:r>
        <w:rPr>
          <w:rFonts w:hint="eastAsia" w:ascii="標楷體" w:hAnsi="標楷體" w:eastAsia="標楷體"/>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上述為優先錄用對象，並提具相關文件佐證：</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rPr>
        <w:t>112年3月25日</w:t>
      </w:r>
      <w:r>
        <w:rPr>
          <w:rFonts w:hint="eastAsia" w:ascii="標楷體" w:hAnsi="標楷體" w:eastAsia="標楷體"/>
          <w:bCs/>
          <w:spacing w:val="-5"/>
        </w:rPr>
        <w:t>前核發有效</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320" w:lineRule="exact"/>
        <w:ind w:left="709" w:hanging="709"/>
        <w:rPr>
          <w:rFonts w:ascii="標楷體" w:hAnsi="標楷體" w:eastAsia="標楷體"/>
        </w:rPr>
      </w:pPr>
      <w:r>
        <w:rPr>
          <w:rFonts w:hint="eastAsia" w:hAnsi="標楷體" w:eastAsia="標楷體"/>
          <w:b/>
          <w:bCs/>
          <w:sz w:val="28"/>
          <w:szCs w:val="24"/>
        </w:rPr>
        <w:t>分發工讀地點</w:t>
      </w:r>
      <w:r>
        <w:rPr>
          <w:rFonts w:hint="eastAsia" w:ascii="標楷體" w:hAnsi="標楷體" w:eastAsia="標楷體"/>
        </w:rPr>
        <w:t>：連江縣政府各局處、一二級機關及所屬機構，各鄉公所。</w:t>
      </w:r>
    </w:p>
    <w:p>
      <w:pPr>
        <w:widowControl/>
        <w:numPr>
          <w:ilvl w:val="3"/>
          <w:numId w:val="2"/>
        </w:numPr>
        <w:spacing w:line="320" w:lineRule="exact"/>
        <w:ind w:left="0" w:firstLine="0"/>
        <w:rPr>
          <w:rFonts w:ascii="標楷體" w:hAnsi="標楷體" w:eastAsia="標楷體"/>
        </w:rPr>
      </w:pPr>
      <w:r>
        <w:rPr>
          <w:rFonts w:hint="eastAsia" w:hAnsi="標楷體" w:eastAsia="標楷體"/>
          <w:b/>
          <w:bCs/>
          <w:sz w:val="28"/>
          <w:szCs w:val="24"/>
        </w:rPr>
        <w:t>工讀待遇福利</w:t>
      </w:r>
      <w:r>
        <w:rPr>
          <w:rFonts w:hint="eastAsia" w:ascii="標楷體" w:hAnsi="標楷體" w:eastAsia="標楷體"/>
        </w:rPr>
        <w:t>：</w:t>
      </w:r>
    </w:p>
    <w:p>
      <w:pPr>
        <w:widowControl/>
        <w:numPr>
          <w:ilvl w:val="0"/>
          <w:numId w:val="3"/>
        </w:numPr>
        <w:tabs>
          <w:tab w:val="clear" w:pos="1682"/>
        </w:tabs>
        <w:adjustRightInd w:val="0"/>
        <w:snapToGrid w:val="0"/>
        <w:spacing w:line="320" w:lineRule="exact"/>
        <w:ind w:left="851" w:hanging="283"/>
        <w:jc w:val="both"/>
        <w:rPr>
          <w:rFonts w:ascii="標楷體" w:hAnsi="標楷體" w:eastAsia="標楷體"/>
          <w:color w:val="auto"/>
        </w:rPr>
      </w:pPr>
      <w:r>
        <w:rPr>
          <w:rFonts w:hint="eastAsia" w:ascii="標楷體" w:hAnsi="標楷體" w:eastAsia="標楷體"/>
        </w:rPr>
        <w:t>每月基本薪資2萬6,400元(尚須扣勞、健保等費用)，每日工作8小時，工讀期程為112年7、</w:t>
      </w:r>
      <w:r>
        <w:rPr>
          <w:rFonts w:hint="eastAsia" w:ascii="標楷體" w:hAnsi="標楷體" w:eastAsia="標楷體"/>
          <w:color w:val="auto"/>
        </w:rPr>
        <w:t>8月(兩個月)。</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本計畫為工讀生投保勞工保險、職災保險、全民健康保險、依薪資投保等級6%提繳勞工保險退休金。</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32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32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32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採親自或通訊報名：檢附相關證明文件，郵寄至：20941連江縣南竿鄉介壽村76號，連江縣政府民政處勞動行政科收，信封上請註明報名公部門暑期工讀（※以郵戳為憑，為方便辨認郵戳日期，請以掛號寄出）。</w:t>
      </w:r>
    </w:p>
    <w:p>
      <w:pPr>
        <w:adjustRightInd w:val="0"/>
        <w:snapToGrid w:val="0"/>
        <w:spacing w:line="32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報名日期：112年3月25日至112年4月25日止（以郵戳為憑，逾期不受理）</w:t>
      </w:r>
    </w:p>
    <w:p>
      <w:pPr>
        <w:adjustRightInd w:val="0"/>
        <w:snapToGrid w:val="0"/>
        <w:spacing w:line="320" w:lineRule="exact"/>
        <w:ind w:left="988" w:leftChars="295" w:hanging="280" w:hangingChars="117"/>
        <w:jc w:val="both"/>
        <w:rPr>
          <w:rFonts w:ascii="標楷體" w:hAnsi="標楷體" w:eastAsia="標楷體"/>
        </w:rPr>
      </w:pPr>
      <w:r>
        <w:rPr>
          <w:rFonts w:hint="eastAsia" w:ascii="標楷體" w:hAnsi="標楷體" w:eastAsia="標楷體"/>
        </w:rPr>
        <w:t>3.</w:t>
      </w:r>
      <w:r>
        <w:rPr>
          <w:rFonts w:hint="eastAsia" w:ascii="標楷體" w:hAnsi="標楷體" w:eastAsia="標楷體"/>
        </w:rPr>
        <w:tab/>
      </w:r>
      <w:r>
        <w:rPr>
          <w:rFonts w:hint="eastAsia" w:ascii="標楷體" w:hAnsi="標楷體" w:eastAsia="標楷體"/>
        </w:rPr>
        <w:t>補件規定：報名資料若有缺漏將通知補件，並於112年5月3日（親自送件為下午5時前，郵寄者以郵戳為憑）完成補件。</w:t>
      </w:r>
    </w:p>
    <w:p>
      <w:pPr>
        <w:adjustRightInd w:val="0"/>
        <w:snapToGrid w:val="0"/>
        <w:spacing w:line="32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報名人員經審查通過符合資格者，</w:t>
      </w:r>
      <w:r>
        <w:rPr>
          <w:rFonts w:hint="eastAsia" w:ascii="標楷體" w:hAnsi="標楷體" w:eastAsia="標楷體"/>
        </w:rPr>
        <w:t>優先錄用對象如超過所需名額，則進行公開抽籤，若優先錄用對象</w:t>
      </w:r>
      <w:r>
        <w:rPr>
          <w:rFonts w:hint="eastAsia" w:ascii="標楷體" w:hAnsi="標楷體" w:eastAsia="標楷體"/>
          <w:spacing w:val="-5"/>
        </w:rPr>
        <w:t>如未超過所需名額，則一律錄取，不足餘額則由一般對象進行公開抽籤</w:t>
      </w:r>
      <w:r>
        <w:rPr>
          <w:rFonts w:hint="eastAsia" w:ascii="標楷體" w:hAnsi="標楷體" w:eastAsia="標楷體"/>
        </w:rPr>
        <w:t>，總數正取30名外，並抽出候補名額</w:t>
      </w:r>
      <w:r>
        <w:rPr>
          <w:rFonts w:hint="eastAsia" w:ascii="標楷體" w:hAnsi="標楷體" w:eastAsia="標楷體"/>
          <w:color w:val="FF0000"/>
        </w:rPr>
        <w:t>5名，</w:t>
      </w:r>
      <w:r>
        <w:rPr>
          <w:rFonts w:hint="eastAsia" w:ascii="標楷體" w:hAnsi="標楷體" w:eastAsia="標楷體"/>
        </w:rPr>
        <w:t>公開抽籤時間暫定</w:t>
      </w:r>
      <w:r>
        <w:rPr>
          <w:rFonts w:hint="eastAsia" w:ascii="標楷體" w:hAnsi="標楷體" w:eastAsia="標楷體"/>
          <w:color w:val="0000FF"/>
          <w:spacing w:val="-5"/>
        </w:rPr>
        <w:t>112年5月5</w:t>
      </w:r>
      <w:r>
        <w:rPr>
          <w:rFonts w:hint="eastAsia" w:ascii="標楷體" w:hAnsi="標楷體" w:eastAsia="標楷體"/>
          <w:color w:val="0000FF"/>
          <w:spacing w:val="-5"/>
        </w:rPr>
        <w:t>日。</w:t>
      </w:r>
    </w:p>
    <w:p>
      <w:pPr>
        <w:widowControl/>
        <w:tabs>
          <w:tab w:val="left" w:pos="1682"/>
        </w:tabs>
        <w:adjustRightInd w:val="0"/>
        <w:snapToGrid w:val="0"/>
        <w:spacing w:line="320" w:lineRule="exact"/>
        <w:ind w:left="993"/>
        <w:jc w:val="both"/>
        <w:rPr>
          <w:rFonts w:ascii="標楷體" w:hAnsi="標楷體" w:eastAsia="標楷體"/>
        </w:rPr>
      </w:pPr>
      <w:r>
        <w:rPr>
          <w:rFonts w:hint="eastAsia" w:ascii="標楷體" w:hAnsi="標楷體" w:eastAsia="標楷體"/>
        </w:rPr>
        <w:t>(不足額備選方案:若工讀生報名人數低於總核定30人以下，為有效資源運用缺額人數開放候補自6月30日止，依先報名先錄取，缺額補滿即終止。)</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color w:val="auto"/>
        </w:rPr>
      </w:pPr>
      <w:r>
        <w:rPr>
          <w:rFonts w:hint="eastAsia" w:ascii="標楷體" w:hAnsi="標楷體" w:eastAsia="標楷體"/>
        </w:rPr>
        <w:t>工讀生分發</w:t>
      </w:r>
      <w:r>
        <w:rPr>
          <w:rFonts w:hint="eastAsia" w:ascii="標楷體" w:hAnsi="標楷體" w:eastAsia="標楷體"/>
          <w:color w:val="auto"/>
        </w:rPr>
        <w:t>:分發順序由行動不便身障者優先依自願選擇單位分發，其他工讀生依業務單位專業需求，自相關科系中先遴選專業適當人員優先分發，餘依照志願表填報順位由本府進行依序分發。</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若正取者放棄資格時，由候補名單依順序遞補。遞補人員通知作業皆以電話進行，報名時請留下正確聯絡號碼，並保持電話暢通。如因資料錯誤、未開機等個人因素，未能即時聯絡，視同放棄報名。</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經上述作業完成，112年7月3日上午9時前</w:t>
      </w:r>
      <w:r>
        <w:rPr>
          <w:rFonts w:hint="eastAsia" w:ascii="標楷體" w:hAnsi="標楷體" w:eastAsia="標楷體"/>
          <w:color w:val="FF0000"/>
          <w:spacing w:val="-5"/>
        </w:rPr>
        <w:t>(暫定)</w:t>
      </w:r>
      <w:r>
        <w:rPr>
          <w:rFonts w:hint="eastAsia" w:ascii="標楷體" w:hAnsi="標楷體" w:eastAsia="標楷體"/>
          <w:spacing w:val="-5"/>
        </w:rPr>
        <w:t>，未報到者視同放棄，不得有異議。</w:t>
      </w:r>
    </w:p>
    <w:p>
      <w:pPr>
        <w:snapToGrid w:val="0"/>
        <w:spacing w:line="320" w:lineRule="exact"/>
        <w:jc w:val="both"/>
        <w:rPr>
          <w:rFonts w:hAnsi="標楷體" w:eastAsia="標楷體"/>
          <w:b/>
          <w:bCs/>
          <w:sz w:val="28"/>
          <w:szCs w:val="24"/>
        </w:rPr>
      </w:pPr>
      <w:r>
        <w:rPr>
          <w:rFonts w:hint="eastAsia" w:hAnsi="標楷體" w:eastAsia="標楷體"/>
          <w:b/>
          <w:bCs/>
          <w:sz w:val="28"/>
          <w:szCs w:val="24"/>
        </w:rPr>
        <w:t>七、職前講習暨綜合座談：</w:t>
      </w:r>
    </w:p>
    <w:p>
      <w:pPr>
        <w:snapToGrid w:val="0"/>
        <w:spacing w:line="320" w:lineRule="exact"/>
        <w:ind w:left="1188" w:leftChars="354" w:hanging="338" w:hangingChars="141"/>
        <w:jc w:val="both"/>
        <w:rPr>
          <w:rFonts w:ascii="標楷體" w:hAnsi="標楷體" w:eastAsia="標楷體"/>
          <w:bCs/>
        </w:rPr>
      </w:pPr>
      <w:r>
        <w:rPr>
          <w:rFonts w:hint="eastAsia" w:ascii="標楷體" w:hAnsi="標楷體" w:eastAsia="標楷體"/>
        </w:rPr>
        <w:t>1.為使初入職場工讀學員認識公部門職場環境，辦理職前講習，由本府派員講授有關職場工作環境及「勞工工作權益</w:t>
      </w:r>
      <w:r>
        <w:rPr>
          <w:rFonts w:hint="eastAsia" w:ascii="標楷體" w:hAnsi="標楷體" w:eastAsia="標楷體"/>
          <w:bCs/>
        </w:rPr>
        <w:t>」相關事項。</w:t>
      </w:r>
    </w:p>
    <w:p>
      <w:pPr>
        <w:snapToGrid w:val="0"/>
        <w:spacing w:line="320" w:lineRule="exact"/>
        <w:ind w:left="1188" w:leftChars="354" w:hanging="338" w:hangingChars="141"/>
        <w:jc w:val="both"/>
        <w:rPr>
          <w:rFonts w:ascii="標楷體" w:hAnsi="標楷體" w:eastAsia="標楷體"/>
        </w:rPr>
      </w:pPr>
      <w:r>
        <w:rPr>
          <w:rFonts w:hint="eastAsia" w:ascii="標楷體" w:hAnsi="標楷體" w:eastAsia="標楷體"/>
          <w:bCs/>
        </w:rPr>
        <w:t>2.</w:t>
      </w:r>
      <w:r>
        <w:rPr>
          <w:rFonts w:hint="eastAsia" w:ascii="標楷體" w:hAnsi="標楷體" w:eastAsia="標楷體"/>
        </w:rPr>
        <w:t>計畫結束前繳交一篇850字以上工讀心得報告分享，並辦理有關「</w:t>
      </w:r>
      <w:r>
        <w:rPr>
          <w:rFonts w:hint="eastAsia" w:ascii="標楷體" w:hAnsi="標楷體" w:eastAsia="標楷體"/>
          <w:bCs/>
        </w:rPr>
        <w:t>事業規劃與生涯發展」座談會</w:t>
      </w:r>
      <w:r>
        <w:rPr>
          <w:rFonts w:hint="eastAsia" w:ascii="標楷體" w:hAnsi="標楷體" w:eastAsia="標楷體"/>
        </w:rPr>
        <w:t>，由本府長官與參與本項計畫之青年學生經驗交流。</w:t>
      </w:r>
    </w:p>
    <w:p>
      <w:pPr>
        <w:snapToGrid w:val="0"/>
        <w:spacing w:line="320" w:lineRule="exact"/>
        <w:jc w:val="both"/>
        <w:rPr>
          <w:rFonts w:hAnsi="標楷體" w:eastAsia="標楷體"/>
          <w:b/>
          <w:bCs/>
          <w:sz w:val="28"/>
          <w:szCs w:val="24"/>
        </w:rPr>
      </w:pPr>
      <w:r>
        <w:rPr>
          <w:rFonts w:hint="eastAsia" w:hAnsi="標楷體" w:eastAsia="標楷體"/>
          <w:b/>
          <w:bCs/>
          <w:sz w:val="28"/>
          <w:szCs w:val="24"/>
        </w:rPr>
        <w:t>八</w:t>
      </w:r>
      <w:r>
        <w:rPr>
          <w:rFonts w:hAnsi="標楷體" w:eastAsia="標楷體"/>
          <w:b/>
          <w:bCs/>
          <w:sz w:val="28"/>
          <w:szCs w:val="24"/>
        </w:rPr>
        <w:t>、錄取名額：</w:t>
      </w:r>
    </w:p>
    <w:p>
      <w:pPr>
        <w:snapToGrid w:val="0"/>
        <w:spacing w:line="320" w:lineRule="exact"/>
        <w:ind w:left="720" w:leftChars="300"/>
        <w:rPr>
          <w:rFonts w:eastAsia="標楷體"/>
          <w:bCs/>
          <w:color w:val="auto"/>
          <w:szCs w:val="24"/>
        </w:rPr>
      </w:pPr>
      <w:r>
        <w:rPr>
          <w:rFonts w:hint="eastAsia" w:hAnsi="標楷體" w:eastAsia="標楷體"/>
          <w:bCs/>
          <w:color w:val="auto"/>
          <w:szCs w:val="24"/>
        </w:rPr>
        <w:t>本計畫經費</w:t>
      </w:r>
      <w:r>
        <w:rPr>
          <w:rFonts w:hAnsi="標楷體" w:eastAsia="標楷體"/>
          <w:bCs/>
          <w:color w:val="auto"/>
          <w:szCs w:val="24"/>
        </w:rPr>
        <w:t>由</w:t>
      </w:r>
      <w:r>
        <w:rPr>
          <w:rFonts w:hint="eastAsia" w:hAnsi="標楷體" w:eastAsia="標楷體"/>
          <w:bCs/>
          <w:color w:val="auto"/>
          <w:szCs w:val="24"/>
        </w:rPr>
        <w:t>勞動</w:t>
      </w:r>
      <w:bookmarkStart w:id="0" w:name="_GoBack"/>
      <w:bookmarkEnd w:id="0"/>
      <w:r>
        <w:rPr>
          <w:rFonts w:hint="eastAsia" w:hAnsi="標楷體" w:eastAsia="標楷體"/>
          <w:bCs/>
          <w:color w:val="auto"/>
          <w:szCs w:val="24"/>
        </w:rPr>
        <w:t>部</w:t>
      </w:r>
      <w:r>
        <w:rPr>
          <w:rFonts w:hAnsi="標楷體" w:eastAsia="標楷體"/>
          <w:color w:val="auto"/>
          <w:szCs w:val="24"/>
        </w:rPr>
        <w:t>就業安定基金補助</w:t>
      </w:r>
      <w:r>
        <w:rPr>
          <w:rFonts w:hAnsi="標楷體" w:eastAsia="標楷體"/>
          <w:bCs/>
          <w:color w:val="auto"/>
          <w:szCs w:val="24"/>
        </w:rPr>
        <w:t>暑期工讀生名額</w:t>
      </w:r>
      <w:r>
        <w:rPr>
          <w:rFonts w:hint="eastAsia" w:hAnsi="標楷體" w:eastAsia="標楷體"/>
          <w:bCs/>
          <w:color w:val="auto"/>
          <w:szCs w:val="24"/>
        </w:rPr>
        <w:t>30</w:t>
      </w:r>
      <w:r>
        <w:rPr>
          <w:rFonts w:hAnsi="標楷體" w:eastAsia="標楷體"/>
          <w:bCs/>
          <w:color w:val="auto"/>
          <w:szCs w:val="24"/>
        </w:rPr>
        <w:t>名。</w:t>
      </w:r>
    </w:p>
    <w:p>
      <w:pPr>
        <w:numPr>
          <w:ilvl w:val="0"/>
          <w:numId w:val="5"/>
        </w:numPr>
        <w:snapToGrid w:val="0"/>
        <w:spacing w:line="240" w:lineRule="atLeast"/>
        <w:jc w:val="both"/>
        <w:rPr>
          <w:rFonts w:hAnsi="標楷體" w:eastAsia="標楷體"/>
          <w:b/>
          <w:bCs/>
          <w:sz w:val="28"/>
          <w:szCs w:val="24"/>
        </w:rPr>
      </w:pPr>
      <w:r>
        <w:rPr>
          <w:rFonts w:hAnsi="標楷體" w:eastAsia="標楷體"/>
          <w:b/>
          <w:bCs/>
          <w:sz w:val="28"/>
          <w:szCs w:val="24"/>
        </w:rPr>
        <w:t>附則：</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報到後發現報名資料有偽造、變造、造假等情事，一律撤銷錄取資格。</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工讀期間本府舉辦集訓及座談會時，應事先向本府民政處提出請假，本府民政處有審核准假或否決之權利，其餘期間請假應事先向用人單位提出請假。</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工作期間相關權利義務，依用人單位工作規則及本計畫工讀生注意事項規定辦理。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工作期間如有違反規定或公務洩密等情事，除終止進用外，並視情節輕重，逕函就讀學校處理。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錄取者44天工作日最少需工作35天。</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工讀期間，本府將定期或不定期考核工讀生工作。</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本計畫恕不配合學校實習課程。</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本計畫由連江縣政府民政處為執行單位，執行單位可視情形延長報名日期及抽籤日期。</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如有未盡事宜，得隨時修正並公布於連江縣政府網站。</w:t>
      </w:r>
    </w:p>
    <w:p>
      <w:pPr>
        <w:adjustRightInd w:val="0"/>
        <w:snapToGrid w:val="0"/>
        <w:spacing w:line="320" w:lineRule="exact"/>
        <w:jc w:val="both"/>
        <w:rPr>
          <w:rFonts w:ascii="標楷體" w:hAnsi="標楷體" w:eastAsia="標楷體"/>
        </w:rPr>
      </w:pPr>
      <w:r>
        <w:rPr>
          <w:rFonts w:hint="eastAsia" w:ascii="標楷體" w:hAnsi="標楷體" w:eastAsia="標楷體"/>
        </w:rPr>
        <w:t>十、</w:t>
      </w:r>
      <w:r>
        <w:rPr>
          <w:rFonts w:hint="eastAsia" w:hAnsi="標楷體" w:eastAsia="標楷體"/>
          <w:b/>
          <w:bCs/>
          <w:sz w:val="28"/>
          <w:szCs w:val="24"/>
        </w:rPr>
        <w:t>終止工讀之規定：</w:t>
      </w:r>
      <w:r>
        <w:rPr>
          <w:rFonts w:hint="eastAsia" w:ascii="標楷體" w:hAnsi="標楷體" w:eastAsia="標楷體"/>
        </w:rPr>
        <w:t xml:space="preserve"> </w:t>
      </w:r>
    </w:p>
    <w:p>
      <w:pPr>
        <w:tabs>
          <w:tab w:val="left" w:pos="960"/>
        </w:tabs>
        <w:snapToGrid w:val="0"/>
        <w:spacing w:line="240" w:lineRule="atLeast"/>
        <w:ind w:left="480" w:leftChars="200"/>
        <w:jc w:val="both"/>
        <w:rPr>
          <w:rFonts w:ascii="標楷體" w:hAnsi="標楷體" w:eastAsia="標楷體"/>
        </w:rPr>
      </w:pPr>
      <w:r>
        <w:rPr>
          <w:rFonts w:hint="eastAsia" w:ascii="標楷體" w:hAnsi="標楷體" w:eastAsia="標楷體"/>
        </w:rPr>
        <w:t xml:space="preserve">  1.工讀期間累積事、病假超過 15日(含)以上者。</w:t>
      </w:r>
    </w:p>
    <w:p>
      <w:pPr>
        <w:tabs>
          <w:tab w:val="left" w:pos="960"/>
        </w:tabs>
        <w:snapToGrid w:val="0"/>
        <w:spacing w:line="240" w:lineRule="atLeast"/>
        <w:ind w:left="960" w:leftChars="200" w:hanging="480" w:hangingChars="200"/>
        <w:jc w:val="both"/>
        <w:rPr>
          <w:rFonts w:ascii="標楷體" w:hAnsi="標楷體" w:eastAsia="標楷體"/>
        </w:rPr>
      </w:pPr>
      <w:r>
        <w:rPr>
          <w:rFonts w:hint="eastAsia" w:ascii="標楷體" w:hAnsi="標楷體" w:eastAsia="標楷體"/>
        </w:rPr>
        <w:t xml:space="preserve">  2.每2週針對工讀學生表現進行考核，經考核分數為 70 分以下達1次且經督導後1週內仍無改善者。</w:t>
      </w:r>
    </w:p>
    <w:p>
      <w:pPr>
        <w:numPr>
          <w:ilvl w:val="0"/>
          <w:numId w:val="7"/>
        </w:numPr>
        <w:tabs>
          <w:tab w:val="left" w:pos="720"/>
        </w:tabs>
        <w:snapToGrid w:val="0"/>
        <w:spacing w:line="240" w:lineRule="atLeast"/>
        <w:ind w:left="960" w:leftChars="300" w:hanging="240" w:hangingChars="100"/>
        <w:jc w:val="both"/>
        <w:rPr>
          <w:rFonts w:eastAsia="標楷體"/>
          <w:color w:val="000000"/>
          <w:szCs w:val="24"/>
        </w:rPr>
      </w:pPr>
      <w:r>
        <w:rPr>
          <w:rFonts w:eastAsia="標楷體"/>
          <w:bCs/>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3"/>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hint="eastAsia" w:hAnsi="標楷體" w:eastAsia="標楷體"/>
                <w:color w:val="000000"/>
                <w:szCs w:val="24"/>
              </w:rPr>
              <w:t xml:space="preserve">    </w:t>
            </w:r>
            <w:r>
              <w:rPr>
                <w:rFonts w:hAnsi="標楷體" w:eastAsia="標楷體"/>
                <w:color w:val="000000"/>
                <w:szCs w:val="24"/>
              </w:rPr>
              <w:t>月</w:t>
            </w:r>
            <w:r>
              <w:rPr>
                <w:rFonts w:hint="eastAsia" w:hAnsi="標楷體" w:eastAsia="標楷體"/>
                <w:color w:val="000000"/>
                <w:szCs w:val="24"/>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eastAsia="標楷體"/>
                <w:color w:val="000000"/>
                <w:szCs w:val="24"/>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8"/>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111</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rPr>
              <w:t>11</w:t>
            </w:r>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int="eastAsia" w:ascii="標楷體" w:hAnsi="標楷體" w:eastAsia="標楷體"/>
              </w:rPr>
              <w:t>優先錄用對象</w:t>
            </w:r>
            <w:r>
              <w:rPr>
                <w:rFonts w:hAnsi="標楷體" w:eastAsia="標楷體"/>
                <w:color w:val="000000"/>
                <w:szCs w:val="24"/>
              </w:rPr>
              <w:t>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hint="eastAsia" w:eastAsia="標楷體"/>
                <w:color w:val="000000"/>
                <w:szCs w:val="24"/>
              </w:rPr>
              <w:t>2</w:t>
            </w:r>
            <w:r>
              <w:rPr>
                <w:rFonts w:eastAsia="標楷體"/>
                <w:color w:val="000000"/>
                <w:szCs w:val="24"/>
              </w:rPr>
              <w:t>.</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rPr>
              <w:t>10</w:t>
            </w:r>
            <w:r>
              <w:rPr>
                <w:rFonts w:hAnsi="標楷體" w:eastAsia="標楷體"/>
                <w:color w:val="000000"/>
                <w:szCs w:val="24"/>
                <w:u w:val="single"/>
              </w:rPr>
              <w:t>年至</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hint="eastAsia" w:eastAsia="標楷體"/>
                <w:color w:val="000000"/>
                <w:szCs w:val="24"/>
              </w:rPr>
              <w:t>10</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11</w:t>
            </w:r>
            <w:r>
              <w:rPr>
                <w:rFonts w:hAnsi="標楷體" w:eastAsia="標楷體"/>
                <w:color w:val="000000"/>
                <w:szCs w:val="24"/>
                <w:u w:val="single"/>
              </w:rPr>
              <w:t>年或</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3</w:t>
            </w:r>
            <w:r>
              <w:rPr>
                <w:rFonts w:eastAsia="標楷體"/>
                <w:color w:val="000000"/>
                <w:szCs w:val="24"/>
              </w:rPr>
              <w:t>.原住民失業者之子女：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10</w:t>
            </w:r>
            <w:r>
              <w:rPr>
                <w:rFonts w:hint="eastAsia" w:eastAsia="標楷體"/>
                <w:color w:val="000000"/>
                <w:szCs w:val="24"/>
                <w:u w:val="single"/>
              </w:rPr>
              <w:t>9</w:t>
            </w:r>
            <w:r>
              <w:rPr>
                <w:rFonts w:hAnsi="標楷體" w:eastAsia="標楷體"/>
                <w:color w:val="000000"/>
                <w:szCs w:val="24"/>
                <w:u w:val="single"/>
              </w:rPr>
              <w:t>年至</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w:t>
            </w:r>
            <w:r>
              <w:rPr>
                <w:rFonts w:hint="eastAsia" w:eastAsia="標楷體"/>
                <w:color w:val="000000"/>
                <w:szCs w:val="24"/>
                <w:u w:val="single"/>
              </w:rPr>
              <w:t>09</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eastAsia="標楷體"/>
                <w:color w:val="000000"/>
                <w:szCs w:val="24"/>
                <w:u w:val="single"/>
              </w:rPr>
              <w:t>0</w:t>
            </w:r>
            <w:r>
              <w:rPr>
                <w:rFonts w:hAnsi="標楷體" w:eastAsia="標楷體"/>
                <w:color w:val="000000"/>
                <w:szCs w:val="24"/>
                <w:u w:val="single"/>
              </w:rPr>
              <w:t>年或</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rPr>
        <w:t>112</w:t>
      </w:r>
      <w:r>
        <w:rPr>
          <w:rFonts w:eastAsia="標楷體"/>
          <w:color w:val="000000"/>
          <w:spacing w:val="-5"/>
          <w:szCs w:val="24"/>
          <w:u w:val="single"/>
        </w:rPr>
        <w:t>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rPr>
        <w:t>民政</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rPr>
        <w:t>112</w:t>
      </w:r>
      <w:r>
        <w:rPr>
          <w:rFonts w:hAnsi="標楷體" w:eastAsia="標楷體"/>
          <w:b/>
          <w:color w:val="000000"/>
          <w:sz w:val="28"/>
          <w:szCs w:val="28"/>
          <w:shd w:val="pct10" w:color="auto" w:fill="FFFFFF"/>
        </w:rPr>
        <w:t>年暑期工讀用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連江縣政府112年大專青年學生公部門暑期工讀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112</w:t>
      </w:r>
      <w:r>
        <w:rPr>
          <w:rFonts w:ascii="標楷體" w:hAnsi="標楷體" w:eastAsia="標楷體"/>
          <w:b/>
          <w:sz w:val="36"/>
          <w:szCs w:val="36"/>
        </w:rPr>
        <w:t>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申請連江縣政府112年大專青年學生公部門暑期工讀</w:t>
      </w:r>
      <w:r>
        <w:rPr>
          <w:rFonts w:ascii="標楷體" w:hAnsi="標楷體" w:eastAsia="標楷體"/>
          <w:sz w:val="32"/>
        </w:rPr>
        <w:t>，同意承辦單位（</w:t>
      </w:r>
      <w:r>
        <w:rPr>
          <w:rFonts w:hint="eastAsia" w:ascii="標楷體" w:hAnsi="標楷體" w:eastAsia="標楷體"/>
          <w:sz w:val="32"/>
        </w:rPr>
        <w:t>連江縣政府民政處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112</w:t>
      </w:r>
      <w:r>
        <w:rPr>
          <w:rFonts w:ascii="標楷體" w:hAnsi="標楷體" w:eastAsia="標楷體"/>
          <w:b/>
          <w:sz w:val="36"/>
          <w:szCs w:val="36"/>
        </w:rPr>
        <w:t>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6</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7</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8</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9</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10</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9"/>
              </w:numPr>
              <w:snapToGrid w:val="0"/>
              <w:spacing w:line="240" w:lineRule="atLeast"/>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9"/>
              </w:numPr>
              <w:snapToGrid w:val="0"/>
              <w:spacing w:line="240" w:lineRule="atLeast"/>
              <w:rPr>
                <w:rFonts w:eastAsia="標楷體"/>
                <w:color w:val="000000"/>
                <w:sz w:val="28"/>
                <w:szCs w:val="24"/>
              </w:rPr>
            </w:pPr>
            <w:r>
              <w:rPr>
                <w:rFonts w:hint="eastAsia" w:eastAsia="標楷體"/>
                <w:color w:val="000000"/>
                <w:sz w:val="28"/>
                <w:szCs w:val="24"/>
              </w:rPr>
              <w:t>倘無莒光籍青年學生報名本計畫，原莒光鄉公所用人名額，原則流用至連江縣政府民政處進用。</w:t>
            </w:r>
          </w:p>
          <w:p>
            <w:pPr>
              <w:snapToGrid w:val="0"/>
              <w:spacing w:line="240" w:lineRule="atLeast"/>
              <w:rPr>
                <w:rFonts w:eastAsia="標楷體"/>
                <w:color w:val="000000"/>
                <w:sz w:val="28"/>
                <w:szCs w:val="24"/>
              </w:rPr>
            </w:pPr>
          </w:p>
        </w:tc>
      </w:tr>
    </w:tbl>
    <w:p>
      <w:pPr>
        <w:snapToGrid w:val="0"/>
        <w:spacing w:line="240" w:lineRule="atLeast"/>
        <w:rPr>
          <w:rFonts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w:t>
      </w:r>
      <w:r>
        <w:rPr>
          <w:rFonts w:hint="eastAsia" w:ascii="標楷體" w:hAnsi="標楷體" w:eastAsia="標楷體"/>
          <w:b/>
          <w:sz w:val="32"/>
          <w:szCs w:val="32"/>
        </w:rPr>
        <w:t>112</w:t>
      </w:r>
      <w:r>
        <w:rPr>
          <w:rFonts w:ascii="標楷體" w:hAnsi="標楷體" w:eastAsia="標楷體"/>
          <w:b/>
          <w:sz w:val="32"/>
          <w:szCs w:val="32"/>
        </w:rPr>
        <w:t>年</w:t>
      </w:r>
      <w:r>
        <w:rPr>
          <w:rFonts w:hint="eastAsia" w:ascii="標楷體" w:hAnsi="標楷體" w:eastAsia="標楷體"/>
          <w:b/>
          <w:sz w:val="32"/>
          <w:szCs w:val="32"/>
        </w:rPr>
        <w:t>大專青年學生公部門暑期工讀各局處工作內容</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876"/>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3427"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單位</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進用人數</w:t>
            </w:r>
          </w:p>
        </w:tc>
        <w:tc>
          <w:tcPr>
            <w:tcW w:w="5784" w:type="dxa"/>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連江縣大同之家</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3</w:t>
            </w:r>
          </w:p>
        </w:tc>
        <w:tc>
          <w:tcPr>
            <w:tcW w:w="5784" w:type="dxa"/>
            <w:vAlign w:val="center"/>
          </w:tcPr>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協助環境清潔維護。</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協助來訪外賓接待。</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協助檔案整理工作。</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協助垃圾資源分類。</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協助關懷長輩活動。</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連江縣警察局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1.繕打回溯資料</w:t>
            </w:r>
            <w:r>
              <w:rPr>
                <w:rFonts w:hint="eastAsia" w:ascii="標楷體" w:hAnsi="標楷體" w:eastAsia="標楷體" w:cs="標楷體"/>
                <w:kern w:val="0"/>
                <w:szCs w:val="24"/>
                <w:lang w:bidi="ar"/>
              </w:rPr>
              <w:tab/>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2.整理檔案銷毀目錄</w:t>
            </w:r>
            <w:r>
              <w:rPr>
                <w:rFonts w:hint="eastAsia" w:ascii="標楷體" w:hAnsi="標楷體" w:eastAsia="標楷體" w:cs="標楷體"/>
                <w:kern w:val="0"/>
                <w:szCs w:val="24"/>
                <w:lang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連江縣政府文化處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4</w:t>
            </w:r>
          </w:p>
        </w:tc>
        <w:tc>
          <w:tcPr>
            <w:tcW w:w="5784" w:type="dxa"/>
            <w:vAlign w:val="center"/>
          </w:tcPr>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民俗文物館售票暨導覽人員1名</w:t>
            </w:r>
          </w:p>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中正圖書館借還書暨協助環境空間整理</w:t>
            </w:r>
          </w:p>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連江縣東引鄉公所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2</w:t>
            </w:r>
          </w:p>
        </w:tc>
        <w:tc>
          <w:tcPr>
            <w:tcW w:w="5784" w:type="dxa"/>
            <w:vAlign w:val="center"/>
          </w:tcPr>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協助檔案整理。</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協助觀光活動業務。</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連江縣政府教育處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2</w:t>
            </w:r>
          </w:p>
        </w:tc>
        <w:tc>
          <w:tcPr>
            <w:tcW w:w="5784" w:type="dxa"/>
            <w:vAlign w:val="center"/>
          </w:tcPr>
          <w:p>
            <w:pPr>
              <w:pStyle w:val="20"/>
              <w:ind w:left="0" w:leftChars="0"/>
              <w:rPr>
                <w:rFonts w:ascii="標楷體" w:hAnsi="標楷體" w:eastAsia="標楷體"/>
                <w:sz w:val="27"/>
                <w:szCs w:val="27"/>
              </w:rPr>
            </w:pPr>
            <w:r>
              <w:rPr>
                <w:rFonts w:hint="eastAsia" w:ascii="標楷體" w:hAnsi="標楷體" w:eastAsia="標楷體"/>
                <w:szCs w:val="24"/>
              </w:rPr>
              <w:t>協助學校暑期學藝活動及教育處教育行政業務等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連江縣政府主計處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jc w:val="both"/>
              <w:rPr>
                <w:rFonts w:ascii="標楷體" w:hAnsi="標楷體" w:eastAsia="標楷體"/>
                <w:sz w:val="27"/>
                <w:szCs w:val="27"/>
              </w:rPr>
            </w:pPr>
            <w:r>
              <w:rPr>
                <w:rFonts w:ascii="標楷體" w:hAnsi="標楷體" w:eastAsia="標楷體" w:cs="標楷體"/>
                <w:kern w:val="0"/>
                <w:szCs w:val="24"/>
                <w:lang w:bidi="ar"/>
              </w:rPr>
              <w:t>協助處理本處會計統計相關工作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連江縣政府行政處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3</w:t>
            </w:r>
          </w:p>
        </w:tc>
        <w:tc>
          <w:tcPr>
            <w:tcW w:w="5784" w:type="dxa"/>
            <w:vAlign w:val="center"/>
          </w:tcPr>
          <w:p>
            <w:pPr>
              <w:numPr>
                <w:ilvl w:val="0"/>
                <w:numId w:val="11"/>
              </w:numPr>
              <w:rPr>
                <w:rFonts w:ascii="標楷體" w:hAnsi="標楷體" w:eastAsia="標楷體"/>
                <w:szCs w:val="24"/>
              </w:rPr>
            </w:pPr>
            <w:r>
              <w:rPr>
                <w:rFonts w:hint="eastAsia" w:ascii="標楷體" w:hAnsi="標楷體" w:eastAsia="標楷體"/>
                <w:szCs w:val="24"/>
              </w:rPr>
              <w:t>銷毀檔案整理分類附件維護</w:t>
            </w:r>
          </w:p>
          <w:p>
            <w:pPr>
              <w:numPr>
                <w:ilvl w:val="0"/>
                <w:numId w:val="11"/>
              </w:numPr>
              <w:rPr>
                <w:rFonts w:ascii="標楷體" w:hAnsi="標楷體" w:eastAsia="標楷體"/>
                <w:szCs w:val="24"/>
              </w:rPr>
            </w:pPr>
            <w:r>
              <w:rPr>
                <w:rFonts w:hint="eastAsia" w:ascii="標楷體" w:hAnsi="標楷體" w:eastAsia="標楷體"/>
                <w:szCs w:val="24"/>
              </w:rPr>
              <w:t>庫房整理</w:t>
            </w:r>
          </w:p>
          <w:p>
            <w:pPr>
              <w:numPr>
                <w:ilvl w:val="0"/>
                <w:numId w:val="11"/>
              </w:numPr>
              <w:rPr>
                <w:rFonts w:ascii="標楷體" w:hAnsi="標楷體" w:eastAsia="標楷體"/>
                <w:szCs w:val="24"/>
              </w:rPr>
            </w:pPr>
            <w:r>
              <w:rPr>
                <w:rFonts w:hint="eastAsia" w:ascii="標楷體" w:hAnsi="標楷體" w:eastAsia="標楷體"/>
                <w:szCs w:val="24"/>
              </w:rPr>
              <w:t>蒐集馬祖四鄉五島照片作為素材</w:t>
            </w:r>
          </w:p>
          <w:p>
            <w:pPr>
              <w:numPr>
                <w:ilvl w:val="0"/>
                <w:numId w:val="11"/>
              </w:numPr>
              <w:rPr>
                <w:rFonts w:ascii="標楷體" w:hAnsi="標楷體" w:eastAsia="標楷體"/>
                <w:szCs w:val="24"/>
              </w:rPr>
            </w:pPr>
            <w:r>
              <w:rPr>
                <w:rFonts w:hint="eastAsia" w:ascii="標楷體" w:hAnsi="標楷體" w:eastAsia="標楷體"/>
                <w:szCs w:val="24"/>
              </w:rPr>
              <w:t>縣政行銷企畫方案</w:t>
            </w:r>
          </w:p>
          <w:p>
            <w:pPr>
              <w:numPr>
                <w:ilvl w:val="0"/>
                <w:numId w:val="11"/>
              </w:numPr>
              <w:rPr>
                <w:rFonts w:ascii="標楷體" w:hAnsi="標楷體" w:eastAsia="標楷體"/>
                <w:szCs w:val="24"/>
              </w:rPr>
            </w:pPr>
            <w:r>
              <w:rPr>
                <w:rFonts w:hint="eastAsia" w:ascii="標楷體" w:hAnsi="標楷體" w:eastAsia="標楷體"/>
                <w:szCs w:val="24"/>
              </w:rPr>
              <w:t>協助新聞媒體及公</w:t>
            </w:r>
          </w:p>
          <w:p>
            <w:pPr>
              <w:numPr>
                <w:ilvl w:val="0"/>
                <w:numId w:val="11"/>
              </w:numPr>
              <w:rPr>
                <w:rFonts w:ascii="標楷體" w:hAnsi="標楷體" w:eastAsia="標楷體"/>
                <w:sz w:val="27"/>
                <w:szCs w:val="27"/>
              </w:rPr>
            </w:pPr>
            <w:r>
              <w:rPr>
                <w:rFonts w:hint="eastAsia" w:ascii="標楷體" w:hAnsi="標楷體" w:eastAsia="標楷體"/>
                <w:szCs w:val="24"/>
              </w:rPr>
              <w:t>活動相關事宜</w:t>
            </w:r>
          </w:p>
          <w:p>
            <w:pPr>
              <w:numPr>
                <w:ilvl w:val="0"/>
                <w:numId w:val="11"/>
              </w:numPr>
              <w:rPr>
                <w:rFonts w:ascii="標楷體" w:hAnsi="標楷體" w:eastAsia="標楷體"/>
                <w:sz w:val="27"/>
                <w:szCs w:val="27"/>
              </w:rPr>
            </w:pPr>
            <w:r>
              <w:rPr>
                <w:rFonts w:hint="eastAsia" w:ascii="標楷體" w:hAnsi="標楷體" w:eastAsia="標楷體"/>
                <w:szCs w:val="24"/>
              </w:rPr>
              <w:t>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連江縣財政稅務局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jc w:val="both"/>
              <w:rPr>
                <w:rFonts w:ascii="標楷體" w:hAnsi="標楷體" w:eastAsia="標楷體"/>
                <w:sz w:val="27"/>
                <w:szCs w:val="27"/>
              </w:rPr>
            </w:pPr>
            <w:r>
              <w:rPr>
                <w:rFonts w:ascii="標楷體" w:hAnsi="標楷體" w:eastAsia="標楷體" w:cs="標楷體"/>
                <w:kern w:val="0"/>
                <w:szCs w:val="24"/>
                <w:lang w:bidi="ar"/>
              </w:rPr>
              <w:t>協助整理稅籍資料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連江縣交通旅遊局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pStyle w:val="21"/>
              <w:spacing w:beforeAutospacing="1"/>
            </w:pPr>
            <w:r>
              <w:rPr>
                <w:rFonts w:ascii="標楷體" w:hAnsi="標楷體" w:eastAsia="標楷體" w:cs="標楷體"/>
                <w:lang w:eastAsia="zh-TW"/>
              </w:rPr>
              <w:t>福澳碼頭服務台服務人員</w:t>
            </w:r>
            <w:r>
              <w:rPr>
                <w:rFonts w:hint="eastAsia" w:ascii="標楷體" w:hAnsi="標楷體" w:eastAsia="標楷體" w:cs="標楷體"/>
              </w:rPr>
              <w:t>1</w:t>
            </w:r>
            <w:r>
              <w:rPr>
                <w:rFonts w:hint="eastAsia" w:ascii="標楷體" w:hAnsi="標楷體" w:eastAsia="標楷體" w:cs="標楷體"/>
                <w:lang w:eastAsia="zh-TW"/>
              </w:rPr>
              <w:t>名</w:t>
            </w:r>
            <w:r>
              <w:rPr>
                <w:rFonts w:hint="eastAsia" w:ascii="標楷體" w:hAnsi="標楷體" w:eastAsia="標楷體" w:cs="標楷體"/>
              </w:rPr>
              <w:t>(</w:t>
            </w:r>
            <w:r>
              <w:rPr>
                <w:rFonts w:hint="eastAsia" w:ascii="標楷體" w:hAnsi="標楷體" w:eastAsia="標楷體" w:cs="標楷體"/>
                <w:lang w:eastAsia="zh-TW"/>
              </w:rPr>
              <w:t>辦理諮詢服務及協助</w:t>
            </w:r>
            <w:r>
              <w:rPr>
                <w:rFonts w:hint="eastAsia" w:ascii="標楷體" w:hAnsi="標楷體" w:eastAsia="標楷體" w:cs="標楷體"/>
              </w:rPr>
              <w:t>Kiosk</w:t>
            </w:r>
            <w:r>
              <w:rPr>
                <w:rFonts w:hint="eastAsia" w:ascii="標楷體" w:hAnsi="標楷體" w:eastAsia="標楷體" w:cs="標楷體"/>
                <w:lang w:eastAsia="zh-TW"/>
              </w:rPr>
              <w:t>售票機台旅客購票服務</w:t>
            </w:r>
            <w:r>
              <w:rPr>
                <w:rFonts w:hint="eastAsia" w:ascii="標楷體" w:hAnsi="標楷體" w:eastAsia="標楷體" w:cs="標楷體"/>
              </w:rPr>
              <w:t>)</w:t>
            </w:r>
          </w:p>
          <w:p>
            <w:pPr>
              <w:jc w:val="both"/>
              <w:rPr>
                <w:rFonts w:ascii="標楷體" w:hAnsi="標楷體" w:eastAsia="標楷體" w:cs="標楷體"/>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連江縣立醫院</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2</w:t>
            </w:r>
          </w:p>
        </w:tc>
        <w:tc>
          <w:tcPr>
            <w:tcW w:w="5784" w:type="dxa"/>
            <w:vAlign w:val="center"/>
          </w:tcPr>
          <w:p>
            <w:pPr>
              <w:pStyle w:val="6"/>
              <w:widowControl/>
              <w:spacing w:after="0" w:line="240" w:lineRule="auto"/>
            </w:pPr>
            <w:r>
              <w:rPr>
                <w:rFonts w:ascii="標楷體" w:hAnsi="標楷體" w:eastAsia="標楷體" w:cs="標楷體"/>
                <w:color w:val="000000"/>
                <w:szCs w:val="24"/>
                <w:lang w:bidi="ar"/>
              </w:rPr>
              <w:t>1.</w:t>
            </w:r>
            <w:r>
              <w:rPr>
                <w:rFonts w:hint="eastAsia" w:ascii="標楷體" w:hAnsi="標楷體" w:eastAsia="標楷體" w:cs="標楷體"/>
                <w:color w:val="000000"/>
                <w:szCs w:val="24"/>
                <w:lang w:eastAsia="zh-TW" w:bidi="ar"/>
              </w:rPr>
              <w:t>總務室</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協助檔案回溯建檔</w:t>
            </w:r>
            <w:r>
              <w:rPr>
                <w:rFonts w:hint="eastAsia" w:ascii="標楷體" w:hAnsi="標楷體" w:eastAsia="標楷體" w:cs="標楷體"/>
                <w:color w:val="000000"/>
                <w:szCs w:val="24"/>
                <w:lang w:bidi="ar"/>
              </w:rPr>
              <w:t>(1</w:t>
            </w:r>
            <w:r>
              <w:rPr>
                <w:rFonts w:hint="eastAsia" w:ascii="標楷體" w:hAnsi="標楷體" w:eastAsia="標楷體" w:cs="標楷體"/>
                <w:color w:val="000000"/>
                <w:szCs w:val="24"/>
                <w:lang w:eastAsia="zh-TW" w:bidi="ar"/>
              </w:rPr>
              <w:t>名</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w:t>
            </w:r>
          </w:p>
          <w:p>
            <w:pPr>
              <w:pStyle w:val="6"/>
              <w:widowControl/>
              <w:spacing w:after="0" w:line="240" w:lineRule="auto"/>
              <w:rPr>
                <w:rFonts w:ascii="標楷體" w:hAnsi="標楷體" w:eastAsia="標楷體" w:cs="標楷體"/>
                <w:szCs w:val="24"/>
                <w:lang w:eastAsia="zh-TW"/>
              </w:rPr>
            </w:pPr>
            <w:r>
              <w:rPr>
                <w:rFonts w:hint="eastAsia" w:ascii="標楷體" w:hAnsi="標楷體" w:eastAsia="標楷體" w:cs="標楷體"/>
                <w:color w:val="000000"/>
                <w:szCs w:val="24"/>
                <w:lang w:bidi="ar"/>
              </w:rPr>
              <w:t>2.</w:t>
            </w:r>
            <w:r>
              <w:rPr>
                <w:rFonts w:hint="eastAsia" w:ascii="標楷體" w:hAnsi="標楷體" w:eastAsia="標楷體" w:cs="標楷體"/>
                <w:color w:val="000000"/>
                <w:szCs w:val="24"/>
                <w:lang w:eastAsia="zh-TW" w:bidi="ar"/>
              </w:rPr>
              <w:t>牙科</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包消器械及臨時交辦事項</w:t>
            </w:r>
            <w:r>
              <w:rPr>
                <w:rFonts w:hint="eastAsia" w:ascii="標楷體" w:hAnsi="標楷體" w:eastAsia="標楷體" w:cs="標楷體"/>
                <w:color w:val="000000"/>
                <w:szCs w:val="24"/>
                <w:lang w:bidi="ar"/>
              </w:rPr>
              <w:t>(1</w:t>
            </w:r>
            <w:r>
              <w:rPr>
                <w:rFonts w:hint="eastAsia" w:ascii="標楷體" w:hAnsi="標楷體" w:eastAsia="標楷體" w:cs="標楷體"/>
                <w:color w:val="000000"/>
                <w:szCs w:val="24"/>
                <w:lang w:eastAsia="zh-TW" w:bidi="ar"/>
              </w:rPr>
              <w:t>名</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連江縣莒光鄉公所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協助公文傳遞</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簡易文書處理</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協助社會福利申辦業務</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協助獨居老人關懷、送餐服務</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協助辦理各項活動</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協助活動中心清潔</w:t>
            </w:r>
          </w:p>
          <w:p>
            <w:pPr>
              <w:rPr>
                <w:rFonts w:ascii="標楷體" w:hAnsi="標楷體" w:eastAsia="標楷體"/>
                <w:szCs w:val="24"/>
                <w:lang w:eastAsia="zh-CN"/>
              </w:rPr>
            </w:pPr>
            <w:r>
              <w:rPr>
                <w:rFonts w:hint="eastAsia" w:ascii="標楷體" w:hAnsi="標楷體" w:eastAsia="標楷體"/>
                <w:szCs w:val="24"/>
                <w:lang w:eastAsia="zh-CN"/>
              </w:rPr>
              <w:t>備註：</w:t>
            </w:r>
          </w:p>
          <w:p>
            <w:pPr>
              <w:numPr>
                <w:ilvl w:val="0"/>
                <w:numId w:val="13"/>
              </w:numPr>
              <w:rPr>
                <w:rFonts w:ascii="標楷體" w:hAnsi="標楷體" w:eastAsia="標楷體"/>
                <w:szCs w:val="24"/>
                <w:lang w:eastAsia="zh-CN"/>
              </w:rPr>
            </w:pPr>
            <w:r>
              <w:rPr>
                <w:rFonts w:hint="eastAsia" w:ascii="標楷體" w:hAnsi="標楷體" w:eastAsia="標楷體"/>
                <w:szCs w:val="24"/>
                <w:lang w:eastAsia="zh-CN"/>
              </w:rPr>
              <w:t>本所無法提供住宿</w:t>
            </w:r>
          </w:p>
          <w:p>
            <w:pPr>
              <w:numPr>
                <w:ilvl w:val="0"/>
                <w:numId w:val="13"/>
              </w:numPr>
              <w:rPr>
                <w:rFonts w:ascii="標楷體" w:hAnsi="標楷體" w:eastAsia="標楷體" w:cs="標楷體"/>
                <w:color w:val="000000"/>
                <w:kern w:val="0"/>
                <w:szCs w:val="24"/>
                <w:lang w:eastAsia="zh-CN" w:bidi="ar"/>
              </w:rPr>
            </w:pPr>
            <w:r>
              <w:rPr>
                <w:rFonts w:hint="eastAsia" w:ascii="標楷體" w:hAnsi="標楷體" w:eastAsia="標楷體"/>
                <w:szCs w:val="24"/>
                <w:lang w:eastAsia="zh-CN"/>
              </w:rPr>
              <w:t>莒光鄉親青年學生優先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連江縣環境資源局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協助公文歸檔、掃描事宜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連江縣政府工務處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辦理道路巡查等資料整理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連江縣地政局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協助處理檔管業務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連江縣政府產業發展處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2</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輔助辦理動物保護業務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連江縣消防局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協助局內環境整理及協助公文傳遞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連江縣政府民政處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12" w:hanging="12" w:hangingChars="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協助協助處理檔管業務、環境整理及其他臨時交辦事宜。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連江縣港務處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旅客服務導覽等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連江縣衛生福利局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12" w:hanging="12" w:hangingChars="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協助防疫工作、食藥管理稽查，推動公共衛生與醫療保健相關事宜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427" w:type="dxa"/>
            <w:shd w:val="clear" w:color="auto" w:fill="auto"/>
          </w:tcPr>
          <w:p>
            <w:pPr>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總計</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30</w:t>
            </w:r>
          </w:p>
        </w:tc>
        <w:tc>
          <w:tcPr>
            <w:tcW w:w="5784" w:type="dxa"/>
          </w:tcPr>
          <w:p>
            <w:pPr>
              <w:ind w:left="12" w:hanging="12" w:hangingChars="5"/>
              <w:jc w:val="both"/>
              <w:rPr>
                <w:rFonts w:ascii="標楷體" w:hAnsi="標楷體" w:eastAsia="標楷體" w:cs="標楷體"/>
                <w:kern w:val="0"/>
                <w:szCs w:val="24"/>
                <w:lang w:bidi="ar"/>
              </w:rPr>
            </w:pPr>
          </w:p>
        </w:tc>
      </w:tr>
    </w:tbl>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F">
    <w:altName w:val="Calibr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1">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63EDA714"/>
    <w:multiLevelType w:val="singleLevel"/>
    <w:tmpl w:val="63EDA714"/>
    <w:lvl w:ilvl="0" w:tentative="0">
      <w:start w:val="1"/>
      <w:numFmt w:val="decimal"/>
      <w:suff w:val="nothing"/>
      <w:lvlText w:val="%1."/>
      <w:lvlJc w:val="left"/>
    </w:lvl>
  </w:abstractNum>
  <w:abstractNum w:abstractNumId="6">
    <w:nsid w:val="640FD8DA"/>
    <w:multiLevelType w:val="singleLevel"/>
    <w:tmpl w:val="640FD8DA"/>
    <w:lvl w:ilvl="0" w:tentative="0">
      <w:start w:val="1"/>
      <w:numFmt w:val="decimal"/>
      <w:suff w:val="nothing"/>
      <w:lvlText w:val="%1."/>
      <w:lvlJc w:val="left"/>
    </w:lvl>
  </w:abstractNum>
  <w:abstractNum w:abstractNumId="7">
    <w:nsid w:val="640FD8FB"/>
    <w:multiLevelType w:val="singleLevel"/>
    <w:tmpl w:val="640FD8FB"/>
    <w:lvl w:ilvl="0" w:tentative="0">
      <w:start w:val="1"/>
      <w:numFmt w:val="decimal"/>
      <w:suff w:val="nothing"/>
      <w:lvlText w:val="%1."/>
      <w:lvlJc w:val="left"/>
    </w:lvl>
  </w:abstractNum>
  <w:abstractNum w:abstractNumId="8">
    <w:nsid w:val="641BFF00"/>
    <w:multiLevelType w:val="singleLevel"/>
    <w:tmpl w:val="641BFF00"/>
    <w:lvl w:ilvl="0" w:tentative="0">
      <w:start w:val="9"/>
      <w:numFmt w:val="chineseCounting"/>
      <w:suff w:val="nothing"/>
      <w:lvlText w:val="%1、"/>
      <w:lvlJc w:val="left"/>
    </w:lvl>
  </w:abstractNum>
  <w:abstractNum w:abstractNumId="9">
    <w:nsid w:val="641BFF63"/>
    <w:multiLevelType w:val="singleLevel"/>
    <w:tmpl w:val="641BFF63"/>
    <w:lvl w:ilvl="0" w:tentative="0">
      <w:start w:val="1"/>
      <w:numFmt w:val="decimal"/>
      <w:suff w:val="nothing"/>
      <w:lvlText w:val="%1."/>
      <w:lvlJc w:val="left"/>
    </w:lvl>
  </w:abstractNum>
  <w:abstractNum w:abstractNumId="10">
    <w:nsid w:val="641BFF7D"/>
    <w:multiLevelType w:val="singleLevel"/>
    <w:tmpl w:val="641BFF7D"/>
    <w:lvl w:ilvl="0" w:tentative="0">
      <w:start w:val="1"/>
      <w:numFmt w:val="decimal"/>
      <w:suff w:val="nothing"/>
      <w:lvlText w:val="%1."/>
      <w:lvlJc w:val="left"/>
    </w:lvl>
  </w:abstractNum>
  <w:abstractNum w:abstractNumId="11">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12">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2"/>
  </w:num>
  <w:num w:numId="2">
    <w:abstractNumId w:val="11"/>
  </w:num>
  <w:num w:numId="3">
    <w:abstractNumId w:val="4"/>
  </w:num>
  <w:num w:numId="4">
    <w:abstractNumId w:val="3"/>
  </w:num>
  <w:num w:numId="5">
    <w:abstractNumId w:val="8"/>
  </w:num>
  <w:num w:numId="6">
    <w:abstractNumId w:val="10"/>
  </w:num>
  <w:num w:numId="7">
    <w:abstractNumId w:val="9"/>
  </w:num>
  <w:num w:numId="8">
    <w:abstractNumId w:val="0"/>
  </w:num>
  <w:num w:numId="9">
    <w:abstractNumId w:val="1"/>
  </w:num>
  <w:num w:numId="10">
    <w:abstractNumId w:val="2"/>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drawingGridHorizontalSpacing w:val="120"/>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1C0C"/>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49B"/>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6D75"/>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74A"/>
    <w:rsid w:val="00413E43"/>
    <w:rsid w:val="00415464"/>
    <w:rsid w:val="00420941"/>
    <w:rsid w:val="0042657F"/>
    <w:rsid w:val="00433EAF"/>
    <w:rsid w:val="004430D1"/>
    <w:rsid w:val="004455B4"/>
    <w:rsid w:val="00454709"/>
    <w:rsid w:val="00455448"/>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6966"/>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0427"/>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04F03A00"/>
    <w:rsid w:val="068A4100"/>
    <w:rsid w:val="0C61204C"/>
    <w:rsid w:val="106A653E"/>
    <w:rsid w:val="111F2AF5"/>
    <w:rsid w:val="14F51C8C"/>
    <w:rsid w:val="1C2B0115"/>
    <w:rsid w:val="227A11A0"/>
    <w:rsid w:val="255863BD"/>
    <w:rsid w:val="306C5D68"/>
    <w:rsid w:val="448572C6"/>
    <w:rsid w:val="45A039D0"/>
    <w:rsid w:val="562E2534"/>
    <w:rsid w:val="59ED1EC7"/>
    <w:rsid w:val="5FC777F2"/>
    <w:rsid w:val="63217269"/>
    <w:rsid w:val="638635C1"/>
    <w:rsid w:val="6BC63175"/>
    <w:rsid w:val="6CC02412"/>
    <w:rsid w:val="6F531392"/>
    <w:rsid w:val="703022B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20"/>
    </w:rPr>
  </w:style>
  <w:style w:type="paragraph" w:styleId="3">
    <w:name w:val="Plain Text"/>
    <w:basedOn w:val="1"/>
    <w:qFormat/>
    <w:uiPriority w:val="0"/>
    <w:rPr>
      <w:rFonts w:ascii="細明體" w:hAnsi="Courier New" w:eastAsia="細明體"/>
    </w:rPr>
  </w:style>
  <w:style w:type="paragraph" w:styleId="4">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7"/>
    <w:qFormat/>
    <w:uiPriority w:val="0"/>
    <w:pPr>
      <w:tabs>
        <w:tab w:val="center" w:pos="4153"/>
        <w:tab w:val="right" w:pos="8306"/>
      </w:tabs>
      <w:snapToGrid w:val="0"/>
    </w:pPr>
    <w:rPr>
      <w:sz w:val="20"/>
    </w:rPr>
  </w:style>
  <w:style w:type="paragraph" w:styleId="6">
    <w:name w:val="Normal (Web)"/>
    <w:basedOn w:val="1"/>
    <w:qFormat/>
    <w:uiPriority w:val="0"/>
    <w:pPr>
      <w:spacing w:beforeAutospacing="1" w:after="142" w:line="276" w:lineRule="auto"/>
    </w:pPr>
    <w:rPr>
      <w:rFonts w:eastAsia="SimSun"/>
      <w:kern w:val="0"/>
      <w:lang w:eastAsia="zh-CN"/>
    </w:rPr>
  </w:style>
  <w:style w:type="paragraph" w:styleId="7">
    <w:name w:val="Balloon Text"/>
    <w:basedOn w:val="1"/>
    <w:semiHidden/>
    <w:qFormat/>
    <w:uiPriority w:val="0"/>
    <w:rPr>
      <w:rFonts w:ascii="Arial" w:hAnsi="Arial"/>
      <w:sz w:val="18"/>
      <w:szCs w:val="18"/>
    </w:rPr>
  </w:style>
  <w:style w:type="character" w:styleId="9">
    <w:name w:val="Hyperlink"/>
    <w:qFormat/>
    <w:uiPriority w:val="0"/>
    <w:rPr>
      <w:color w:val="0000FF"/>
      <w:u w:val="single"/>
    </w:rPr>
  </w:style>
  <w:style w:type="character" w:styleId="10">
    <w:name w:val="page number"/>
    <w:basedOn w:val="8"/>
    <w:qFormat/>
    <w:uiPriority w:val="0"/>
  </w:style>
  <w:style w:type="character" w:styleId="11">
    <w:name w:val="Strong"/>
    <w:qFormat/>
    <w:uiPriority w:val="0"/>
    <w:rPr>
      <w:b/>
      <w:bCs/>
    </w:rPr>
  </w:style>
  <w:style w:type="character" w:styleId="12">
    <w:name w:val="FollowedHyperlink"/>
    <w:qFormat/>
    <w:uiPriority w:val="0"/>
    <w:rPr>
      <w:color w:val="800080"/>
      <w:u w:val="single"/>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6">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7">
    <w:name w:val="頁尾 字元"/>
    <w:link w:val="5"/>
    <w:qFormat/>
    <w:uiPriority w:val="0"/>
    <w:rPr>
      <w:kern w:val="2"/>
    </w:rPr>
  </w:style>
  <w:style w:type="paragraph" w:customStyle="1" w:styleId="18">
    <w:name w:val="清單段落1"/>
    <w:basedOn w:val="1"/>
    <w:qFormat/>
    <w:uiPriority w:val="99"/>
    <w:pPr>
      <w:ind w:left="480" w:leftChars="200"/>
    </w:pPr>
  </w:style>
  <w:style w:type="paragraph" w:customStyle="1" w:styleId="19">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20">
    <w:name w:val="清單段落2"/>
    <w:basedOn w:val="1"/>
    <w:qFormat/>
    <w:uiPriority w:val="99"/>
    <w:pPr>
      <w:ind w:left="480" w:leftChars="200"/>
    </w:pPr>
  </w:style>
  <w:style w:type="paragraph" w:customStyle="1" w:styleId="21">
    <w:name w:val="cjk"/>
    <w:qFormat/>
    <w:uiPriority w:val="0"/>
    <w:rPr>
      <w:rFonts w:ascii="Times New Roman" w:hAnsi="Times New Roman" w:eastAsia="SimSun" w:cs="Times New Roman"/>
      <w:sz w:val="24"/>
      <w:szCs w:val="24"/>
      <w:lang w:val="en-US" w:eastAsia="zh-CN" w:bidi="ar-SA"/>
    </w:rPr>
  </w:style>
  <w:style w:type="paragraph" w:customStyle="1" w:styleId="22">
    <w:name w:val="Standard"/>
    <w:qFormat/>
    <w:uiPriority w:val="0"/>
    <w:pPr>
      <w:widowControl w:val="0"/>
      <w:suppressAutoHyphens/>
      <w:autoSpaceDN w:val="0"/>
      <w:textAlignment w:val="baseline"/>
    </w:pPr>
    <w:rPr>
      <w:rFonts w:ascii="Calibri" w:hAnsi="Calibri" w:eastAsia="新細明體" w:cs="F"/>
      <w:kern w:val="3"/>
      <w:sz w:val="24"/>
      <w:szCs w:val="22"/>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連江縣政府107年大專青年學生公部門暑期工讀招募簡章.dotx</Template>
  <Company>Unknown Organization</Company>
  <Pages>11</Pages>
  <Words>872</Words>
  <Characters>4974</Characters>
  <Lines>41</Lines>
  <Paragraphs>11</Paragraphs>
  <TotalTime>0</TotalTime>
  <ScaleCrop>false</ScaleCrop>
  <LinksUpToDate>false</LinksUpToDate>
  <CharactersWithSpaces>5835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2023-03-23T08:10:00Z</cp:lastPrinted>
  <dcterms:modified xsi:type="dcterms:W3CDTF">2023-03-25T01:33:18Z</dcterms:modified>
  <dc:title>台北市政府八十八年受理大專院校以上學生暑期工讀服務實施計畫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