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49" w:rsidRDefault="00455789">
      <w:pPr>
        <w:snapToGrid w:val="0"/>
        <w:spacing w:line="480" w:lineRule="atLeast"/>
        <w:jc w:val="center"/>
      </w:pPr>
      <w:r>
        <w:rPr>
          <w:rFonts w:ascii="標楷體" w:eastAsia="標楷體" w:hAnsi="標楷體"/>
          <w:bCs/>
          <w:sz w:val="36"/>
          <w:szCs w:val="36"/>
        </w:rPr>
        <w:t>2022臺北國際食品展覽會-臺灣館</w:t>
      </w:r>
      <w:r>
        <w:rPr>
          <w:rFonts w:ascii="標楷體" w:eastAsia="標楷體" w:hAnsi="標楷體"/>
          <w:b/>
          <w:bCs/>
          <w:sz w:val="36"/>
          <w:szCs w:val="36"/>
        </w:rPr>
        <w:t>水產品區</w:t>
      </w:r>
    </w:p>
    <w:p w:rsidR="00385749" w:rsidRDefault="00455789">
      <w:pPr>
        <w:snapToGrid w:val="0"/>
        <w:spacing w:line="480" w:lineRule="atLeast"/>
        <w:jc w:val="center"/>
      </w:pPr>
      <w:r>
        <w:rPr>
          <w:rFonts w:ascii="標楷體" w:eastAsia="標楷體" w:hAnsi="標楷體"/>
          <w:bCs/>
          <w:sz w:val="36"/>
          <w:szCs w:val="36"/>
        </w:rPr>
        <w:t>參展廠商報名辦法</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活動宗旨：</w:t>
      </w:r>
    </w:p>
    <w:p w:rsidR="00385749" w:rsidRDefault="00455789">
      <w:pPr>
        <w:snapToGrid w:val="0"/>
        <w:spacing w:line="440" w:lineRule="atLeast"/>
        <w:ind w:left="557" w:firstLine="280"/>
        <w:jc w:val="both"/>
      </w:pPr>
      <w:r>
        <w:rPr>
          <w:rFonts w:ascii="標楷體" w:eastAsia="標楷體" w:hAnsi="標楷體"/>
          <w:bCs/>
          <w:sz w:val="28"/>
          <w:szCs w:val="28"/>
        </w:rPr>
        <w:t xml:space="preserve">  臺北國際食品展覽會（以下簡稱食品展）</w:t>
      </w:r>
      <w:r>
        <w:rPr>
          <w:rFonts w:ascii="標楷體" w:eastAsia="標楷體" w:hAnsi="標楷體"/>
          <w:sz w:val="28"/>
          <w:szCs w:val="28"/>
        </w:rPr>
        <w:t>為亞洲重要國際綜合食品展之一</w:t>
      </w:r>
      <w:r>
        <w:rPr>
          <w:rFonts w:ascii="標楷體" w:eastAsia="標楷體" w:hAnsi="標楷體"/>
          <w:bCs/>
          <w:sz w:val="28"/>
          <w:szCs w:val="28"/>
        </w:rPr>
        <w:t>，歷年來行政院農業委員會（以下簡稱農委會）均於食品展中設立臺灣館，以宣揚臺灣農業。</w:t>
      </w:r>
      <w:r>
        <w:rPr>
          <w:rFonts w:ascii="標楷體" w:eastAsia="標楷體" w:hAnsi="標楷體"/>
          <w:sz w:val="28"/>
          <w:szCs w:val="28"/>
        </w:rPr>
        <w:t>臺灣館將聚焦於具臺灣特色且供應鏈健全之主力外銷品項，除主舞臺及形象區外，並規劃TGA品牌區、農糧產品區、農村好物區、水產品區、畜禽產品區、調理食品區等，其中水產品區</w:t>
      </w:r>
      <w:r>
        <w:rPr>
          <w:rFonts w:ascii="標楷體" w:eastAsia="標楷體" w:hAnsi="標楷體"/>
          <w:bCs/>
          <w:sz w:val="28"/>
          <w:szCs w:val="28"/>
        </w:rPr>
        <w:t>由漁業署（以下簡稱本署）主政。</w:t>
      </w:r>
    </w:p>
    <w:p w:rsidR="00385749" w:rsidRDefault="00455789">
      <w:pPr>
        <w:numPr>
          <w:ilvl w:val="0"/>
          <w:numId w:val="1"/>
        </w:numPr>
        <w:snapToGrid w:val="0"/>
        <w:spacing w:line="440" w:lineRule="atLeast"/>
      </w:pPr>
      <w:r>
        <w:rPr>
          <w:rFonts w:ascii="標楷體" w:eastAsia="標楷體" w:hAnsi="標楷體"/>
          <w:bCs/>
          <w:sz w:val="28"/>
          <w:szCs w:val="28"/>
        </w:rPr>
        <w:t>展出地點：</w:t>
      </w:r>
      <w:r>
        <w:rPr>
          <w:rFonts w:ascii="標楷體" w:eastAsia="標楷體" w:hAnsi="標楷體"/>
          <w:bCs/>
          <w:sz w:val="28"/>
          <w:szCs w:val="28"/>
          <w:u w:val="single"/>
        </w:rPr>
        <w:t>臺北南港展覽館2館4樓(地址：臺北市南港區經貿二路2號)。</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展出時間：111年6月22日(星期三)至6月25日(星期六)。</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展示對象：展期內前三日(6月22～24日)僅開放專業買主進場，最後一日(6月25日)開放民眾購票進場。</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攤位資訊：</w:t>
      </w:r>
    </w:p>
    <w:p w:rsidR="00385749" w:rsidRDefault="00455789">
      <w:pPr>
        <w:numPr>
          <w:ilvl w:val="0"/>
          <w:numId w:val="2"/>
        </w:numPr>
        <w:snapToGrid w:val="0"/>
        <w:spacing w:line="440" w:lineRule="atLeast"/>
        <w:jc w:val="both"/>
      </w:pPr>
      <w:r>
        <w:rPr>
          <w:rFonts w:ascii="標楷體" w:eastAsia="標楷體" w:hAnsi="標楷體"/>
          <w:bCs/>
          <w:sz w:val="28"/>
          <w:szCs w:val="28"/>
        </w:rPr>
        <w:t>水產品區（以下簡稱本區）共15個攤位，每個攤位為9平方公尺(3公尺×3公尺)</w:t>
      </w:r>
      <w:r>
        <w:rPr>
          <w:rFonts w:ascii="標楷體" w:eastAsia="標楷體" w:hAnsi="標楷體"/>
          <w:sz w:val="28"/>
          <w:szCs w:val="28"/>
        </w:rPr>
        <w:t>，除正取15位參展廠商外，將預留8位備選廠商以供遞補</w:t>
      </w:r>
      <w:r>
        <w:rPr>
          <w:rFonts w:ascii="標楷體" w:eastAsia="標楷體" w:hAnsi="標楷體"/>
          <w:bCs/>
          <w:sz w:val="28"/>
          <w:szCs w:val="28"/>
        </w:rPr>
        <w:t>。</w:t>
      </w:r>
    </w:p>
    <w:p w:rsidR="00385749" w:rsidRDefault="00455789">
      <w:pPr>
        <w:numPr>
          <w:ilvl w:val="0"/>
          <w:numId w:val="2"/>
        </w:numPr>
        <w:snapToGrid w:val="0"/>
        <w:spacing w:line="440" w:lineRule="atLeast"/>
        <w:jc w:val="both"/>
      </w:pPr>
      <w:r>
        <w:rPr>
          <w:rFonts w:eastAsia="標楷體"/>
          <w:bCs/>
          <w:sz w:val="28"/>
          <w:szCs w:val="28"/>
        </w:rPr>
        <w:t>攤位標準配備：</w:t>
      </w:r>
      <w:r>
        <w:rPr>
          <w:rFonts w:eastAsia="標楷體"/>
          <w:bCs/>
          <w:sz w:val="28"/>
          <w:szCs w:val="28"/>
        </w:rPr>
        <w:t>2</w:t>
      </w:r>
      <w:r>
        <w:rPr>
          <w:rFonts w:eastAsia="標楷體"/>
          <w:bCs/>
          <w:sz w:val="28"/>
          <w:szCs w:val="28"/>
        </w:rPr>
        <w:t>桌</w:t>
      </w:r>
      <w:r>
        <w:rPr>
          <w:rFonts w:eastAsia="標楷體"/>
          <w:bCs/>
          <w:sz w:val="28"/>
          <w:szCs w:val="28"/>
        </w:rPr>
        <w:t>(</w:t>
      </w:r>
      <w:r>
        <w:rPr>
          <w:rFonts w:eastAsia="標楷體"/>
          <w:bCs/>
          <w:sz w:val="28"/>
          <w:szCs w:val="28"/>
        </w:rPr>
        <w:t>玻璃桌與接待桌各一</w:t>
      </w:r>
      <w:r>
        <w:rPr>
          <w:rFonts w:eastAsia="標楷體"/>
          <w:bCs/>
          <w:sz w:val="28"/>
          <w:szCs w:val="28"/>
        </w:rPr>
        <w:t>)</w:t>
      </w:r>
      <w:r>
        <w:rPr>
          <w:rFonts w:eastAsia="標楷體"/>
          <w:bCs/>
          <w:sz w:val="28"/>
          <w:szCs w:val="28"/>
        </w:rPr>
        <w:t>、</w:t>
      </w:r>
      <w:r>
        <w:rPr>
          <w:rFonts w:eastAsia="標楷體"/>
          <w:bCs/>
          <w:sz w:val="28"/>
          <w:szCs w:val="28"/>
        </w:rPr>
        <w:t>3</w:t>
      </w:r>
      <w:r>
        <w:rPr>
          <w:rFonts w:eastAsia="標楷體"/>
          <w:bCs/>
          <w:sz w:val="28"/>
          <w:szCs w:val="28"/>
        </w:rPr>
        <w:t>椅</w:t>
      </w:r>
      <w:r>
        <w:rPr>
          <w:rFonts w:eastAsia="標楷體"/>
          <w:bCs/>
          <w:sz w:val="28"/>
          <w:szCs w:val="28"/>
        </w:rPr>
        <w:t>(</w:t>
      </w:r>
      <w:r>
        <w:rPr>
          <w:rFonts w:eastAsia="標楷體"/>
          <w:bCs/>
          <w:sz w:val="28"/>
          <w:szCs w:val="28"/>
        </w:rPr>
        <w:t>折疊椅</w:t>
      </w:r>
      <w:r>
        <w:rPr>
          <w:rFonts w:eastAsia="標楷體"/>
          <w:bCs/>
          <w:sz w:val="28"/>
          <w:szCs w:val="28"/>
        </w:rPr>
        <w:t>)</w:t>
      </w:r>
      <w:r>
        <w:rPr>
          <w:rFonts w:eastAsia="標楷體"/>
          <w:bCs/>
          <w:sz w:val="28"/>
          <w:szCs w:val="28"/>
        </w:rPr>
        <w:t>、</w:t>
      </w:r>
      <w:r>
        <w:rPr>
          <w:rFonts w:eastAsia="標楷體"/>
          <w:bCs/>
          <w:sz w:val="28"/>
          <w:szCs w:val="28"/>
        </w:rPr>
        <w:t>1</w:t>
      </w:r>
      <w:r>
        <w:rPr>
          <w:rFonts w:eastAsia="標楷體"/>
          <w:bCs/>
          <w:sz w:val="28"/>
          <w:szCs w:val="28"/>
        </w:rPr>
        <w:t>儲物櫃</w:t>
      </w:r>
      <w:r>
        <w:rPr>
          <w:rFonts w:eastAsia="標楷體"/>
          <w:bCs/>
          <w:sz w:val="28"/>
          <w:szCs w:val="28"/>
        </w:rPr>
        <w:t>(</w:t>
      </w:r>
      <w:r>
        <w:rPr>
          <w:rFonts w:eastAsia="標楷體"/>
          <w:bCs/>
          <w:sz w:val="28"/>
          <w:szCs w:val="28"/>
        </w:rPr>
        <w:t>有拉門可儲物</w:t>
      </w:r>
      <w:r>
        <w:rPr>
          <w:rFonts w:eastAsia="標楷體"/>
          <w:bCs/>
          <w:sz w:val="28"/>
          <w:szCs w:val="28"/>
        </w:rPr>
        <w:t>)</w:t>
      </w:r>
      <w:r>
        <w:rPr>
          <w:rFonts w:eastAsia="標楷體"/>
          <w:bCs/>
          <w:sz w:val="28"/>
          <w:szCs w:val="28"/>
        </w:rPr>
        <w:t>、</w:t>
      </w:r>
      <w:r>
        <w:rPr>
          <w:rFonts w:eastAsia="標楷體"/>
          <w:bCs/>
          <w:sz w:val="28"/>
          <w:szCs w:val="28"/>
        </w:rPr>
        <w:t>3</w:t>
      </w:r>
      <w:r>
        <w:rPr>
          <w:rFonts w:eastAsia="標楷體"/>
          <w:bCs/>
          <w:sz w:val="28"/>
          <w:szCs w:val="28"/>
        </w:rPr>
        <w:t>層板、</w:t>
      </w:r>
      <w:r>
        <w:rPr>
          <w:rFonts w:eastAsia="標楷體"/>
          <w:bCs/>
          <w:sz w:val="28"/>
          <w:szCs w:val="28"/>
        </w:rPr>
        <w:t>1</w:t>
      </w:r>
      <w:r>
        <w:rPr>
          <w:rFonts w:eastAsia="標楷體"/>
          <w:bCs/>
          <w:sz w:val="28"/>
          <w:szCs w:val="28"/>
        </w:rPr>
        <w:t>插座</w:t>
      </w:r>
      <w:r>
        <w:rPr>
          <w:rFonts w:eastAsia="標楷體"/>
          <w:bCs/>
          <w:sz w:val="28"/>
          <w:szCs w:val="28"/>
        </w:rPr>
        <w:t>(</w:t>
      </w:r>
      <w:r>
        <w:rPr>
          <w:rFonts w:eastAsia="標楷體"/>
          <w:bCs/>
          <w:sz w:val="28"/>
          <w:szCs w:val="28"/>
        </w:rPr>
        <w:t>含電</w:t>
      </w:r>
      <w:r>
        <w:rPr>
          <w:rFonts w:eastAsia="標楷體"/>
          <w:bCs/>
          <w:sz w:val="28"/>
          <w:szCs w:val="28"/>
        </w:rPr>
        <w:t>110V)</w:t>
      </w:r>
      <w:r>
        <w:rPr>
          <w:rFonts w:eastAsia="標楷體"/>
          <w:bCs/>
          <w:sz w:val="28"/>
          <w:szCs w:val="28"/>
        </w:rPr>
        <w:t>、</w:t>
      </w:r>
      <w:r>
        <w:rPr>
          <w:rFonts w:eastAsia="標楷體"/>
          <w:bCs/>
          <w:sz w:val="28"/>
          <w:szCs w:val="28"/>
        </w:rPr>
        <w:t>3</w:t>
      </w:r>
      <w:r>
        <w:rPr>
          <w:rFonts w:eastAsia="標楷體"/>
          <w:bCs/>
          <w:sz w:val="28"/>
          <w:szCs w:val="28"/>
        </w:rPr>
        <w:t>投射燈、</w:t>
      </w:r>
      <w:r>
        <w:rPr>
          <w:rFonts w:eastAsia="標楷體"/>
          <w:bCs/>
          <w:sz w:val="28"/>
          <w:szCs w:val="28"/>
        </w:rPr>
        <w:t>1</w:t>
      </w:r>
      <w:r>
        <w:rPr>
          <w:rFonts w:eastAsia="標楷體"/>
          <w:bCs/>
          <w:sz w:val="28"/>
          <w:szCs w:val="28"/>
        </w:rPr>
        <w:t>海報</w:t>
      </w:r>
      <w:r>
        <w:rPr>
          <w:rFonts w:eastAsia="標楷體"/>
          <w:bCs/>
          <w:sz w:val="28"/>
          <w:szCs w:val="28"/>
        </w:rPr>
        <w:t xml:space="preserve"> (</w:t>
      </w:r>
      <w:r>
        <w:rPr>
          <w:rFonts w:eastAsia="標楷體"/>
          <w:bCs/>
          <w:sz w:val="28"/>
          <w:szCs w:val="28"/>
        </w:rPr>
        <w:t>＊</w:t>
      </w:r>
      <w:r>
        <w:rPr>
          <w:rFonts w:eastAsia="標楷體"/>
          <w:bCs/>
          <w:sz w:val="28"/>
          <w:szCs w:val="28"/>
        </w:rPr>
        <w:t>4</w:t>
      </w:r>
      <w:r>
        <w:rPr>
          <w:rFonts w:eastAsia="標楷體"/>
          <w:bCs/>
          <w:sz w:val="28"/>
          <w:szCs w:val="28"/>
        </w:rPr>
        <w:t>月底前，會依各攤需求提供各項設備租賃表，供各家廠商選擇租用設備</w:t>
      </w:r>
      <w:r>
        <w:rPr>
          <w:rFonts w:eastAsia="標楷體"/>
          <w:bCs/>
          <w:sz w:val="28"/>
          <w:szCs w:val="28"/>
        </w:rPr>
        <w:t>)</w:t>
      </w:r>
      <w:r>
        <w:rPr>
          <w:rFonts w:eastAsia="標楷體"/>
          <w:bCs/>
          <w:sz w:val="28"/>
          <w:szCs w:val="28"/>
        </w:rPr>
        <w:t>。</w:t>
      </w:r>
    </w:p>
    <w:p w:rsidR="00385749" w:rsidRDefault="00455789">
      <w:pPr>
        <w:numPr>
          <w:ilvl w:val="0"/>
          <w:numId w:val="2"/>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參展空間供參展商辦理各項產品推廣活動，含靜態展示、動態活動與產品試吃等活動(依大會規定)。</w:t>
      </w:r>
    </w:p>
    <w:p w:rsidR="00385749" w:rsidRDefault="00455789">
      <w:pPr>
        <w:numPr>
          <w:ilvl w:val="0"/>
          <w:numId w:val="2"/>
        </w:numPr>
        <w:snapToGrid w:val="0"/>
        <w:spacing w:line="440" w:lineRule="atLeast"/>
        <w:jc w:val="both"/>
      </w:pPr>
      <w:r>
        <w:rPr>
          <w:rFonts w:ascii="標楷體" w:eastAsia="標楷體" w:hAnsi="標楷體"/>
          <w:bCs/>
          <w:sz w:val="28"/>
          <w:szCs w:val="28"/>
        </w:rPr>
        <w:t>入選參展廠商須另繳交攤位租金配合款</w:t>
      </w:r>
      <w:r>
        <w:rPr>
          <w:rFonts w:ascii="標楷體" w:eastAsia="標楷體" w:hAnsi="標楷體"/>
          <w:b/>
          <w:bCs/>
          <w:sz w:val="28"/>
          <w:szCs w:val="28"/>
        </w:rPr>
        <w:t>(預估配合款新臺幣27,000元，正確金額以農委會通知為準)</w:t>
      </w:r>
      <w:r>
        <w:rPr>
          <w:rFonts w:ascii="標楷體" w:eastAsia="標楷體" w:hAnsi="標楷體"/>
          <w:bCs/>
          <w:sz w:val="28"/>
          <w:szCs w:val="28"/>
        </w:rPr>
        <w:t>，倘後續追加設備者，需另繳交追加設備費。</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廠商應具資格、報名資料及文件：</w:t>
      </w:r>
    </w:p>
    <w:p w:rsidR="00385749" w:rsidRDefault="00455789">
      <w:pPr>
        <w:numPr>
          <w:ilvl w:val="0"/>
          <w:numId w:val="3"/>
        </w:numPr>
        <w:snapToGrid w:val="0"/>
        <w:spacing w:line="440" w:lineRule="atLeast"/>
        <w:jc w:val="both"/>
      </w:pPr>
      <w:r>
        <w:rPr>
          <w:rFonts w:ascii="標楷體" w:eastAsia="標楷體" w:hAnsi="標楷體"/>
          <w:bCs/>
          <w:sz w:val="28"/>
          <w:szCs w:val="28"/>
        </w:rPr>
        <w:t>有意參展廠商請填具「報名表」（如附件一）、「產品資料表」（如附件二）、「食品安全衛生切結書」(附件三)及檢具相</w:t>
      </w:r>
      <w:r>
        <w:rPr>
          <w:rFonts w:ascii="標楷體" w:eastAsia="標楷體" w:hAnsi="標楷體"/>
          <w:bCs/>
          <w:sz w:val="28"/>
          <w:szCs w:val="28"/>
        </w:rPr>
        <w:lastRenderedPageBreak/>
        <w:t>關證明文件報名</w:t>
      </w:r>
      <w:r>
        <w:rPr>
          <w:rFonts w:eastAsia="標楷體"/>
          <w:b/>
        </w:rPr>
        <w:t>書</w:t>
      </w:r>
      <w:r>
        <w:rPr>
          <w:rFonts w:ascii="標楷體" w:eastAsia="標楷體" w:hAnsi="標楷體"/>
          <w:bCs/>
          <w:sz w:val="28"/>
          <w:szCs w:val="28"/>
        </w:rPr>
        <w:t>，亦請務必提供電子檔，俾便進行彙整作業；該等表格之電子檔，請逕於本署官方網站www.fa.gov.tw或財團法人台灣養殖漁業發展基金會官方網站http://www.aquadf.org.tw/tadf下載。</w:t>
      </w:r>
    </w:p>
    <w:p w:rsidR="00385749" w:rsidRDefault="00455789">
      <w:pPr>
        <w:numPr>
          <w:ilvl w:val="0"/>
          <w:numId w:val="3"/>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有意參展廠商之參展產品具備Halal（清真）、GGAP(全球優良農業規範)驗證產品者，請於報名時一併提供驗證證書影本。</w:t>
      </w:r>
    </w:p>
    <w:p w:rsidR="00385749" w:rsidRDefault="00455789">
      <w:pPr>
        <w:numPr>
          <w:ilvl w:val="0"/>
          <w:numId w:val="3"/>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因攤位有限，每家廠商限申請一攤位，且於本次食品展中已確認申請參展攤位者將不得列入參展對象。</w:t>
      </w:r>
    </w:p>
    <w:p w:rsidR="00385749" w:rsidRDefault="00455789">
      <w:pPr>
        <w:numPr>
          <w:ilvl w:val="0"/>
          <w:numId w:val="3"/>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本活動攤位有限，報名截止後，本署保留篩選參展單位之權利(將依產品品項、產品特色、驗證項目及具外銷能力評估)，若經錄取，將另通知參展業者，並依規定繳納正式報名文件相關資料。</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報名及聯絡方式：</w:t>
      </w:r>
    </w:p>
    <w:p w:rsidR="00385749" w:rsidRDefault="00455789">
      <w:pPr>
        <w:numPr>
          <w:ilvl w:val="0"/>
          <w:numId w:val="4"/>
        </w:numPr>
        <w:snapToGrid w:val="0"/>
        <w:spacing w:line="440" w:lineRule="atLeast"/>
        <w:jc w:val="both"/>
      </w:pPr>
      <w:r>
        <w:rPr>
          <w:rFonts w:ascii="標楷體" w:eastAsia="標楷體" w:hAnsi="標楷體"/>
          <w:bCs/>
          <w:sz w:val="28"/>
          <w:szCs w:val="28"/>
        </w:rPr>
        <w:t>有意參展者請填具「報名表」、「產品資料表」及檢具相關證明文件後，於</w:t>
      </w:r>
      <w:r>
        <w:rPr>
          <w:rFonts w:ascii="標楷體" w:eastAsia="標楷體" w:hAnsi="標楷體"/>
          <w:bCs/>
          <w:sz w:val="28"/>
          <w:szCs w:val="28"/>
          <w:u w:val="single"/>
        </w:rPr>
        <w:t>111年3月23日（星期三）下午5時止</w:t>
      </w:r>
      <w:r>
        <w:rPr>
          <w:rFonts w:ascii="標楷體" w:eastAsia="標楷體" w:hAnsi="標楷體"/>
          <w:bCs/>
          <w:sz w:val="28"/>
          <w:szCs w:val="28"/>
        </w:rPr>
        <w:t>(以電子郵件/郵戳日期為憑)，逾期恕不受理。正本郵寄至財團法人台灣養殖漁業發展基金會，信封註明報名2022臺北國際食品展臺灣館；並請將前開報名文件掃描後，連同相關報名表格電子檔，寄至yuwen@aquadf.org.tw，主旨請寫 「○○公司-報名2022臺北國際食品展」，經來電確認後，方完成報名程序。</w:t>
      </w:r>
    </w:p>
    <w:p w:rsidR="00385749" w:rsidRDefault="00455789">
      <w:pPr>
        <w:numPr>
          <w:ilvl w:val="0"/>
          <w:numId w:val="4"/>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本案聯絡人：</w:t>
      </w:r>
    </w:p>
    <w:p w:rsidR="00385749" w:rsidRDefault="00455789">
      <w:pPr>
        <w:snapToGrid w:val="0"/>
        <w:spacing w:line="440" w:lineRule="atLeast"/>
        <w:ind w:left="1277"/>
        <w:jc w:val="both"/>
        <w:rPr>
          <w:rFonts w:ascii="標楷體" w:eastAsia="標楷體" w:hAnsi="標楷體"/>
          <w:bCs/>
          <w:sz w:val="28"/>
          <w:szCs w:val="28"/>
        </w:rPr>
      </w:pPr>
      <w:r>
        <w:rPr>
          <w:rFonts w:ascii="標楷體" w:eastAsia="標楷體" w:hAnsi="標楷體"/>
          <w:bCs/>
          <w:sz w:val="28"/>
          <w:szCs w:val="28"/>
        </w:rPr>
        <w:t>阮郁雯小姐、黃鼎詒先生：</w:t>
      </w:r>
    </w:p>
    <w:p w:rsidR="00385749" w:rsidRDefault="00455789">
      <w:pPr>
        <w:numPr>
          <w:ilvl w:val="3"/>
          <w:numId w:val="4"/>
        </w:numPr>
        <w:snapToGrid w:val="0"/>
        <w:spacing w:line="440" w:lineRule="atLeast"/>
        <w:ind w:left="1652" w:hanging="336"/>
        <w:jc w:val="both"/>
        <w:rPr>
          <w:rFonts w:ascii="標楷體" w:eastAsia="標楷體" w:hAnsi="標楷體"/>
          <w:bCs/>
          <w:sz w:val="28"/>
          <w:szCs w:val="28"/>
        </w:rPr>
      </w:pPr>
      <w:r>
        <w:rPr>
          <w:rFonts w:ascii="標楷體" w:eastAsia="標楷體" w:hAnsi="標楷體"/>
          <w:bCs/>
          <w:sz w:val="28"/>
          <w:szCs w:val="28"/>
        </w:rPr>
        <w:t>電話：(02)3393-8008分機28、25。</w:t>
      </w:r>
    </w:p>
    <w:p w:rsidR="00385749" w:rsidRDefault="00455789">
      <w:pPr>
        <w:numPr>
          <w:ilvl w:val="3"/>
          <w:numId w:val="4"/>
        </w:numPr>
        <w:snapToGrid w:val="0"/>
        <w:spacing w:line="440" w:lineRule="atLeast"/>
        <w:ind w:left="1652" w:hanging="336"/>
        <w:jc w:val="both"/>
        <w:rPr>
          <w:rFonts w:ascii="標楷體" w:eastAsia="標楷體" w:hAnsi="標楷體"/>
          <w:bCs/>
          <w:sz w:val="28"/>
          <w:szCs w:val="28"/>
        </w:rPr>
      </w:pPr>
      <w:r>
        <w:rPr>
          <w:rFonts w:ascii="標楷體" w:eastAsia="標楷體" w:hAnsi="標楷體"/>
          <w:bCs/>
          <w:sz w:val="28"/>
          <w:szCs w:val="28"/>
        </w:rPr>
        <w:t>傳真：(02)3393-8018。</w:t>
      </w:r>
    </w:p>
    <w:p w:rsidR="00385749" w:rsidRDefault="00455789">
      <w:pPr>
        <w:numPr>
          <w:ilvl w:val="3"/>
          <w:numId w:val="4"/>
        </w:numPr>
        <w:snapToGrid w:val="0"/>
        <w:spacing w:line="440" w:lineRule="atLeast"/>
        <w:ind w:left="1652" w:hanging="336"/>
        <w:jc w:val="both"/>
        <w:rPr>
          <w:rFonts w:ascii="標楷體" w:eastAsia="標楷體" w:hAnsi="標楷體"/>
          <w:bCs/>
          <w:sz w:val="28"/>
          <w:szCs w:val="28"/>
        </w:rPr>
      </w:pPr>
      <w:r>
        <w:rPr>
          <w:rFonts w:ascii="標楷體" w:eastAsia="標楷體" w:hAnsi="標楷體"/>
          <w:bCs/>
          <w:sz w:val="28"/>
          <w:szCs w:val="28"/>
        </w:rPr>
        <w:t>電子郵件：yuwen@aquadf.org.tw。</w:t>
      </w:r>
    </w:p>
    <w:p w:rsidR="00385749" w:rsidRDefault="00455789">
      <w:pPr>
        <w:numPr>
          <w:ilvl w:val="3"/>
          <w:numId w:val="4"/>
        </w:numPr>
        <w:snapToGrid w:val="0"/>
        <w:spacing w:line="440" w:lineRule="atLeast"/>
        <w:ind w:left="1652" w:hanging="336"/>
        <w:jc w:val="both"/>
        <w:rPr>
          <w:rFonts w:ascii="標楷體" w:eastAsia="標楷體" w:hAnsi="標楷體"/>
          <w:bCs/>
          <w:sz w:val="28"/>
          <w:szCs w:val="28"/>
        </w:rPr>
      </w:pPr>
      <w:r>
        <w:rPr>
          <w:rFonts w:ascii="標楷體" w:eastAsia="標楷體" w:hAnsi="標楷體"/>
          <w:bCs/>
          <w:sz w:val="28"/>
          <w:szCs w:val="28"/>
        </w:rPr>
        <w:t>地址：10065臺北市中正區延平南路189號3樓之5。</w:t>
      </w:r>
    </w:p>
    <w:p w:rsidR="00385749" w:rsidRDefault="00455789">
      <w:pPr>
        <w:numPr>
          <w:ilvl w:val="0"/>
          <w:numId w:val="1"/>
        </w:numPr>
        <w:snapToGrid w:val="0"/>
        <w:spacing w:line="440" w:lineRule="atLeast"/>
        <w:rPr>
          <w:rFonts w:ascii="標楷體" w:eastAsia="標楷體" w:hAnsi="標楷體"/>
          <w:bCs/>
          <w:sz w:val="28"/>
          <w:szCs w:val="28"/>
        </w:rPr>
      </w:pPr>
      <w:r>
        <w:rPr>
          <w:rFonts w:ascii="標楷體" w:eastAsia="標楷體" w:hAnsi="標楷體"/>
          <w:bCs/>
          <w:sz w:val="28"/>
          <w:szCs w:val="28"/>
        </w:rPr>
        <w:t>其他注意事項：</w:t>
      </w:r>
    </w:p>
    <w:p w:rsidR="00385749" w:rsidRDefault="00455789">
      <w:pPr>
        <w:numPr>
          <w:ilvl w:val="0"/>
          <w:numId w:val="5"/>
        </w:numPr>
        <w:snapToGrid w:val="0"/>
        <w:spacing w:line="440" w:lineRule="atLeast"/>
        <w:jc w:val="both"/>
      </w:pPr>
      <w:r>
        <w:rPr>
          <w:rFonts w:ascii="標楷體" w:eastAsia="標楷體" w:hAnsi="標楷體"/>
          <w:bCs/>
          <w:sz w:val="28"/>
          <w:szCs w:val="28"/>
        </w:rPr>
        <w:t>農委會於食品展設置臺灣館之主要目的係為推動我國農產品外銷，爰</w:t>
      </w:r>
      <w:r>
        <w:rPr>
          <w:rFonts w:ascii="標楷體" w:eastAsia="標楷體" w:hAnsi="標楷體"/>
          <w:bCs/>
          <w:sz w:val="28"/>
          <w:szCs w:val="28"/>
          <w:u w:val="single"/>
        </w:rPr>
        <w:t>參展品項應以國產水產品為主</w:t>
      </w:r>
      <w:r>
        <w:rPr>
          <w:rFonts w:ascii="標楷體" w:eastAsia="標楷體" w:hAnsi="標楷體"/>
          <w:bCs/>
          <w:sz w:val="28"/>
          <w:szCs w:val="28"/>
        </w:rPr>
        <w:t>。同一公司行號於</w:t>
      </w:r>
      <w:r>
        <w:rPr>
          <w:rFonts w:ascii="標楷體" w:eastAsia="標楷體" w:hAnsi="標楷體"/>
          <w:bCs/>
          <w:sz w:val="28"/>
          <w:szCs w:val="28"/>
        </w:rPr>
        <w:lastRenderedPageBreak/>
        <w:t>2022年臺北國際食品展「臺灣館」展區中只允取得設置1個攤位資格，「臺灣館」中不得重複報名參展。</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申請資料請詳實填寫，不得遺漏，因本次食品展係為國際性之展覽，請務必提供英文資料；倘報名資料有遺漏，且未能於時限內補正者，將喪失報名資格。</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有關租金、裝潢與基本設備擬依農委會及本署計畫相關經費支應，業者依規定負擔部分費用及追加設備費。</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本區整體面積裝潢由農委會徵選之得標公司統籌，各廠商面積之佈置裝潢則由參展廠商自行處理。</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參展廠商需自行提供人力及相關展出所需產品。</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可展售品：可食用之水產品及其相關產品(如調理食品、罐頭食品、飲品等)，依第32屆台北國際食品展覽會參展實施規範之展出項目為準。</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參展廠商倘未能配合主辦單位於時限內提供及確認相關資料，影響策展進度，以及於展覽期間未能配合主辦單位之相關規定者，將取消下年度之參展資格。</w:t>
      </w:r>
    </w:p>
    <w:p w:rsidR="00385749" w:rsidRDefault="00455789">
      <w:pPr>
        <w:numPr>
          <w:ilvl w:val="0"/>
          <w:numId w:val="5"/>
        </w:numPr>
        <w:snapToGrid w:val="0"/>
        <w:spacing w:line="440" w:lineRule="atLeast"/>
        <w:jc w:val="both"/>
        <w:rPr>
          <w:rFonts w:ascii="標楷體" w:eastAsia="標楷體" w:hAnsi="標楷體"/>
          <w:bCs/>
          <w:sz w:val="28"/>
          <w:szCs w:val="28"/>
        </w:rPr>
      </w:pPr>
      <w:r>
        <w:rPr>
          <w:rFonts w:ascii="標楷體" w:eastAsia="標楷體" w:hAnsi="標楷體"/>
          <w:bCs/>
          <w:sz w:val="28"/>
          <w:szCs w:val="28"/>
        </w:rPr>
        <w:t>農委會預定辦理展前訓練，課程包含廠商展前應注意事項、參展、布置陳列教學等，入選參展廠商須派員全程參與。</w:t>
      </w:r>
      <w:bookmarkStart w:id="0" w:name="_GoBack"/>
      <w:bookmarkEnd w:id="0"/>
    </w:p>
    <w:sectPr w:rsidR="00385749">
      <w:footerReference w:type="default" r:id="rId7"/>
      <w:pgSz w:w="11906" w:h="16838"/>
      <w:pgMar w:top="1440" w:right="1797" w:bottom="1440" w:left="1797" w:header="851" w:footer="414" w:gutter="0"/>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6D" w:rsidRDefault="00CA136D">
      <w:r>
        <w:separator/>
      </w:r>
    </w:p>
  </w:endnote>
  <w:endnote w:type="continuationSeparator" w:id="0">
    <w:p w:rsidR="00CA136D" w:rsidRDefault="00CA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89" w:rsidRDefault="00455789">
    <w:pPr>
      <w:pStyle w:val="a4"/>
      <w:jc w:val="center"/>
    </w:pPr>
    <w:r>
      <w:rPr>
        <w:rStyle w:val="a6"/>
      </w:rPr>
      <w:t>第</w:t>
    </w:r>
    <w:r>
      <w:rPr>
        <w:rStyle w:val="a6"/>
      </w:rPr>
      <w:fldChar w:fldCharType="begin"/>
    </w:r>
    <w:r>
      <w:rPr>
        <w:rStyle w:val="a6"/>
      </w:rPr>
      <w:instrText xml:space="preserve"> PAGE </w:instrText>
    </w:r>
    <w:r>
      <w:rPr>
        <w:rStyle w:val="a6"/>
      </w:rPr>
      <w:fldChar w:fldCharType="separate"/>
    </w:r>
    <w:r w:rsidR="00F72A6C">
      <w:rPr>
        <w:rStyle w:val="a6"/>
        <w:noProof/>
      </w:rPr>
      <w:t>3</w:t>
    </w:r>
    <w:r>
      <w:rPr>
        <w:rStyle w:val="a6"/>
      </w:rPr>
      <w:fldChar w:fldCharType="end"/>
    </w:r>
    <w:r>
      <w:rPr>
        <w:rStyle w:val="a6"/>
      </w:rPr>
      <w:t>頁，共</w:t>
    </w:r>
    <w:r>
      <w:rPr>
        <w:rStyle w:val="a6"/>
      </w:rPr>
      <w:fldChar w:fldCharType="begin"/>
    </w:r>
    <w:r>
      <w:rPr>
        <w:rStyle w:val="a6"/>
      </w:rPr>
      <w:instrText xml:space="preserve"> NUMPAGES </w:instrText>
    </w:r>
    <w:r>
      <w:rPr>
        <w:rStyle w:val="a6"/>
      </w:rPr>
      <w:fldChar w:fldCharType="separate"/>
    </w:r>
    <w:r w:rsidR="00F72A6C">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6D" w:rsidRDefault="00CA136D">
      <w:r>
        <w:rPr>
          <w:color w:val="000000"/>
        </w:rPr>
        <w:separator/>
      </w:r>
    </w:p>
  </w:footnote>
  <w:footnote w:type="continuationSeparator" w:id="0">
    <w:p w:rsidR="00CA136D" w:rsidRDefault="00CA1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20C1"/>
    <w:multiLevelType w:val="multilevel"/>
    <w:tmpl w:val="6CA21214"/>
    <w:lvl w:ilvl="0">
      <w:start w:val="1"/>
      <w:numFmt w:val="taiwaneseCountingThousand"/>
      <w:lvlText w:val="(%1)"/>
      <w:lvlJc w:val="left"/>
      <w:pPr>
        <w:ind w:left="1277" w:hanging="72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1" w15:restartNumberingAfterBreak="0">
    <w:nsid w:val="17751CAB"/>
    <w:multiLevelType w:val="multilevel"/>
    <w:tmpl w:val="26469974"/>
    <w:lvl w:ilvl="0">
      <w:start w:val="1"/>
      <w:numFmt w:val="taiwaneseCountingThousand"/>
      <w:lvlText w:val="(%1)"/>
      <w:lvlJc w:val="left"/>
      <w:pPr>
        <w:ind w:left="1277" w:hanging="720"/>
      </w:pPr>
      <w:rPr>
        <w:color w:val="auto"/>
      </w:r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2" w15:restartNumberingAfterBreak="0">
    <w:nsid w:val="26680C43"/>
    <w:multiLevelType w:val="multilevel"/>
    <w:tmpl w:val="1CB0D016"/>
    <w:lvl w:ilvl="0">
      <w:start w:val="1"/>
      <w:numFmt w:val="taiwaneseCountingThousand"/>
      <w:lvlText w:val="(%1)"/>
      <w:lvlJc w:val="left"/>
      <w:pPr>
        <w:ind w:left="1277"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8AE29E4"/>
    <w:multiLevelType w:val="multilevel"/>
    <w:tmpl w:val="886E86F8"/>
    <w:lvl w:ilvl="0">
      <w:start w:val="1"/>
      <w:numFmt w:val="taiwaneseCountingThousand"/>
      <w:lvlText w:val="(%1)"/>
      <w:lvlJc w:val="left"/>
      <w:pPr>
        <w:ind w:left="1277" w:hanging="720"/>
      </w:pPr>
    </w:lvl>
    <w:lvl w:ilvl="1">
      <w:start w:val="1"/>
      <w:numFmt w:val="ideographTraditional"/>
      <w:lvlText w:val="%2、"/>
      <w:lvlJc w:val="left"/>
      <w:pPr>
        <w:ind w:left="1517" w:hanging="480"/>
      </w:pPr>
    </w:lvl>
    <w:lvl w:ilvl="2">
      <w:start w:val="1"/>
      <w:numFmt w:val="lowerRoman"/>
      <w:lvlText w:val="%3."/>
      <w:lvlJc w:val="right"/>
      <w:pPr>
        <w:ind w:left="1997" w:hanging="480"/>
      </w:pPr>
    </w:lvl>
    <w:lvl w:ilvl="3">
      <w:start w:val="1"/>
      <w:numFmt w:val="decimal"/>
      <w:lvlText w:val="%4."/>
      <w:lvlJc w:val="left"/>
      <w:pPr>
        <w:ind w:left="2477" w:hanging="480"/>
      </w:pPr>
    </w:lvl>
    <w:lvl w:ilvl="4">
      <w:start w:val="1"/>
      <w:numFmt w:val="ideographTradition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ideographTraditional"/>
      <w:lvlText w:val="%8、"/>
      <w:lvlJc w:val="left"/>
      <w:pPr>
        <w:ind w:left="4397" w:hanging="480"/>
      </w:pPr>
    </w:lvl>
    <w:lvl w:ilvl="8">
      <w:start w:val="1"/>
      <w:numFmt w:val="lowerRoman"/>
      <w:lvlText w:val="%9."/>
      <w:lvlJc w:val="right"/>
      <w:pPr>
        <w:ind w:left="4877" w:hanging="480"/>
      </w:pPr>
    </w:lvl>
  </w:abstractNum>
  <w:abstractNum w:abstractNumId="4" w15:restartNumberingAfterBreak="0">
    <w:nsid w:val="50E17E1A"/>
    <w:multiLevelType w:val="multilevel"/>
    <w:tmpl w:val="1F58B57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8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A6C"/>
    <w:rsid w:val="00385749"/>
    <w:rsid w:val="00455789"/>
    <w:rsid w:val="005B1DB5"/>
    <w:rsid w:val="00CA136D"/>
    <w:rsid w:val="00DC2D5C"/>
    <w:rsid w:val="00F72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8ADE8-A0C7-4E84-A3AF-F8A3345A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Web">
    <w:name w:val="Normal (Web)"/>
    <w:basedOn w:val="a"/>
    <w:pPr>
      <w:widowControl/>
      <w:spacing w:before="100" w:after="100"/>
    </w:pPr>
    <w:rPr>
      <w:rFonts w:ascii="sөũ" w:hAnsi="sөũ" w:cs="新細明體"/>
      <w:kern w:val="0"/>
      <w:szCs w:val="24"/>
    </w:rPr>
  </w:style>
  <w:style w:type="paragraph" w:styleId="a5">
    <w:name w:val="Balloon Text"/>
    <w:basedOn w:val="a"/>
    <w:rPr>
      <w:rFonts w:ascii="Arial" w:hAnsi="Arial"/>
      <w:sz w:val="18"/>
      <w:szCs w:val="18"/>
    </w:rPr>
  </w:style>
  <w:style w:type="character" w:styleId="a6">
    <w:name w:val="page number"/>
    <w:basedOn w:val="a0"/>
  </w:style>
  <w:style w:type="character" w:styleId="a7">
    <w:name w:val="Hyperlink"/>
    <w:rPr>
      <w:color w:val="0563C1"/>
      <w:u w:val="single"/>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rPr>
  </w:style>
  <w:style w:type="paragraph" w:styleId="ab">
    <w:name w:val="annotation subject"/>
    <w:basedOn w:val="a9"/>
    <w:next w:val="a9"/>
    <w:rPr>
      <w:b/>
      <w:bCs/>
    </w:rPr>
  </w:style>
  <w:style w:type="character" w:customStyle="1" w:styleId="ac">
    <w:name w:val="註解主旨 字元"/>
    <w:rPr>
      <w:b/>
      <w:bCs/>
      <w:kern w:val="3"/>
      <w:sz w:val="24"/>
    </w:rPr>
  </w:style>
  <w:style w:type="character" w:customStyle="1" w:styleId="ad">
    <w:name w:val="未解析的提及"/>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3258;&#39000;&#24615;&#20241;&#28417;\111&#27700;&#29986;&#21697;&#21312;&#24501;&#23637;&#35498;&#2612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111水產品區徵展說明</Template>
  <TotalTime>2</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CAS優良農產品發展協會在農委會的委任下編印了『二○○五年CAS優良農產品業務用產品型錄』，目的是為了提供大型團膳單位或是需快速而有效的提供食品之供膳單位所需的不同程度加工產品之團膳單位方便採買選購</dc:title>
  <dc:subject/>
  <dc:creator>matsufish105</dc:creator>
  <cp:keywords/>
  <cp:lastModifiedBy>matsufish105</cp:lastModifiedBy>
  <cp:revision>1</cp:revision>
  <cp:lastPrinted>2021-03-29T06:54:00Z</cp:lastPrinted>
  <dcterms:created xsi:type="dcterms:W3CDTF">2022-03-14T06:02:00Z</dcterms:created>
  <dcterms:modified xsi:type="dcterms:W3CDTF">2022-03-14T06:04:00Z</dcterms:modified>
</cp:coreProperties>
</file>